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AAD49" w14:textId="5A5D8C5F" w:rsidR="007F1A74" w:rsidRPr="002954B3" w:rsidRDefault="006C2053" w:rsidP="00777187">
      <w:pPr>
        <w:rPr>
          <w:spacing w:val="2"/>
          <w:shd w:val="clear" w:color="auto" w:fill="FFFFFF"/>
        </w:rPr>
      </w:pPr>
      <w:r>
        <w:rPr>
          <w:spacing w:val="2"/>
          <w:shd w:val="clear" w:color="auto" w:fill="FFFFFF"/>
        </w:rPr>
        <w:t>UDKAST</w:t>
      </w:r>
    </w:p>
    <w:p w14:paraId="5260913D" w14:textId="113000D6" w:rsidR="00543804" w:rsidRDefault="00543804" w:rsidP="00655D69">
      <w:pPr>
        <w:pStyle w:val="Overskrift1"/>
      </w:pPr>
      <w:bookmarkStart w:id="0" w:name="_Toc102153736"/>
      <w:r>
        <w:t>BILAG</w:t>
      </w:r>
    </w:p>
    <w:p w14:paraId="5DB0BC15" w14:textId="77777777" w:rsidR="00543804" w:rsidRDefault="00543804" w:rsidP="00655D69">
      <w:pPr>
        <w:pStyle w:val="Overskrift1"/>
      </w:pPr>
    </w:p>
    <w:p w14:paraId="602C532F" w14:textId="77777777" w:rsidR="00543804" w:rsidRDefault="00543804" w:rsidP="00655D69">
      <w:pPr>
        <w:pStyle w:val="Overskrift1"/>
      </w:pPr>
    </w:p>
    <w:p w14:paraId="2F490927" w14:textId="3DE025AE" w:rsidR="00125D6A" w:rsidRPr="00655D69" w:rsidRDefault="00B35307" w:rsidP="00655D69">
      <w:pPr>
        <w:pStyle w:val="Overskrift1"/>
      </w:pPr>
      <w:r w:rsidRPr="00655D69">
        <w:t>1</w:t>
      </w:r>
      <w:r w:rsidR="002954B3">
        <w:t>3</w:t>
      </w:r>
      <w:r w:rsidRPr="00655D69">
        <w:t xml:space="preserve">. </w:t>
      </w:r>
      <w:r w:rsidR="00125D6A" w:rsidRPr="00655D69">
        <w:t>Rutiner i praksis</w:t>
      </w:r>
      <w:bookmarkEnd w:id="0"/>
      <w:r w:rsidR="00125D6A" w:rsidRPr="00655D69">
        <w:t> </w:t>
      </w:r>
    </w:p>
    <w:p w14:paraId="1FF0D704" w14:textId="193F273B" w:rsidR="00125D6A" w:rsidRPr="00F22997" w:rsidRDefault="00417594" w:rsidP="00F22997">
      <w:pPr>
        <w:rPr>
          <w:b/>
          <w:bCs/>
        </w:rPr>
      </w:pPr>
      <w:r w:rsidRPr="00F22997">
        <w:rPr>
          <w:b/>
          <w:bCs/>
        </w:rPr>
        <w:t>Hv</w:t>
      </w:r>
      <w:r w:rsidR="00E65CFD" w:rsidRPr="00F22997">
        <w:rPr>
          <w:b/>
          <w:bCs/>
        </w:rPr>
        <w:t>em skal undersøges?</w:t>
      </w:r>
    </w:p>
    <w:p w14:paraId="057BFDC3" w14:textId="7D079C90" w:rsidR="00F22997" w:rsidRPr="00F22997" w:rsidRDefault="00F22997" w:rsidP="00F22997">
      <w:pPr>
        <w:rPr>
          <w:lang w:eastAsia="da-DK"/>
        </w:rPr>
      </w:pPr>
      <w:r w:rsidRPr="00F22997">
        <w:rPr>
          <w:lang w:eastAsia="da-DK"/>
        </w:rPr>
        <w:t>Der skal ikke laves generel opsporing af osteoporose i</w:t>
      </w:r>
      <w:r>
        <w:rPr>
          <w:lang w:eastAsia="da-DK"/>
        </w:rPr>
        <w:t xml:space="preserve"> almen</w:t>
      </w:r>
      <w:r w:rsidRPr="00F22997">
        <w:rPr>
          <w:lang w:eastAsia="da-DK"/>
        </w:rPr>
        <w:t xml:space="preserve"> praksis, men der er personer, hvor den praktiserende læge kan være proaktiv og selv bringe emnet op.</w:t>
      </w:r>
    </w:p>
    <w:p w14:paraId="00C2C6B5" w14:textId="0DD88A5B" w:rsidR="00F22997" w:rsidRPr="00F22997" w:rsidRDefault="00F22997" w:rsidP="00F22997">
      <w:pPr>
        <w:rPr>
          <w:lang w:eastAsia="da-DK"/>
        </w:rPr>
      </w:pPr>
      <w:r w:rsidRPr="00F22997">
        <w:rPr>
          <w:lang w:eastAsia="da-DK"/>
        </w:rPr>
        <w:t>Det bør tilstræbes at leve en knoglevenlig livsstil gennem hele livet og uafhængigt af om man er ung, midaldrende eller ældre</w:t>
      </w:r>
      <w:r>
        <w:rPr>
          <w:lang w:eastAsia="da-DK"/>
        </w:rPr>
        <w:t>, eller</w:t>
      </w:r>
      <w:r w:rsidRPr="00F22997">
        <w:rPr>
          <w:lang w:eastAsia="da-DK"/>
        </w:rPr>
        <w:t xml:space="preserve"> om man har osteoporose eller ej. Hvis man bliver opmærksom på at en person ikke lever en knoglevenlig livsstil, kan det overvejes om der kan gøres noget ved det på det aktuelle tidspunkt eller udskyde samtalen til et </w:t>
      </w:r>
      <w:r>
        <w:rPr>
          <w:lang w:eastAsia="da-DK"/>
        </w:rPr>
        <w:t xml:space="preserve">mere </w:t>
      </w:r>
      <w:r w:rsidRPr="00F22997">
        <w:rPr>
          <w:lang w:eastAsia="da-DK"/>
        </w:rPr>
        <w:t>passende tidspunkt. Det kan overvejes rutinemæssigt at diskutere knoglevenlig</w:t>
      </w:r>
      <w:r>
        <w:rPr>
          <w:lang w:eastAsia="da-DK"/>
        </w:rPr>
        <w:t xml:space="preserve"> livsstil</w:t>
      </w:r>
      <w:r w:rsidRPr="00F22997">
        <w:rPr>
          <w:lang w:eastAsia="da-DK"/>
        </w:rPr>
        <w:t xml:space="preserve"> hos den unge, midaldrende og ældre når de kommer i anden sammenhæng eller i forbindelse med de nationale screeningsprogrammer for anden sygdom.</w:t>
      </w:r>
    </w:p>
    <w:p w14:paraId="4B4DCF51" w14:textId="77777777" w:rsidR="00F22997" w:rsidRPr="00F22997" w:rsidRDefault="00F22997" w:rsidP="00F22997">
      <w:pPr>
        <w:rPr>
          <w:lang w:eastAsia="da-DK"/>
        </w:rPr>
      </w:pPr>
      <w:r w:rsidRPr="00F22997">
        <w:rPr>
          <w:lang w:eastAsia="da-DK"/>
        </w:rPr>
        <w:t>Når udredning for osteoporose igangsættes skal det sikres at det vil have en behandlingsmæssig konsekvens og at der er velvillighed til at indtage anti-osteoporotisk medicin i mange år. Det er vist at det at få diagnosen osteoporose har negative konsekvenser for personens opfattelse af eget helbred og mindsker den fysiske aktivitet, på trods af at osteoporosen evt. aldrig har givet symptomer.</w:t>
      </w:r>
    </w:p>
    <w:p w14:paraId="03172DCC" w14:textId="0F62B130" w:rsidR="00F22997" w:rsidRPr="00F22997" w:rsidRDefault="00F22997" w:rsidP="00F22997">
      <w:pPr>
        <w:rPr>
          <w:lang w:eastAsia="da-DK"/>
        </w:rPr>
      </w:pPr>
      <w:r w:rsidRPr="00F22997">
        <w:rPr>
          <w:lang w:eastAsia="da-DK"/>
        </w:rPr>
        <w:t>Det er svært at vægte risikofaktorer og betydning</w:t>
      </w:r>
      <w:r>
        <w:rPr>
          <w:lang w:eastAsia="da-DK"/>
        </w:rPr>
        <w:t>en</w:t>
      </w:r>
      <w:r w:rsidRPr="00F22997">
        <w:rPr>
          <w:lang w:eastAsia="da-DK"/>
        </w:rPr>
        <w:t xml:space="preserve"> af disse. Det vil altid være et individuelt skøn og der kan ikke laves et entydigt skema eller flowchart over dette. Hver enkelt risikofaktor kan vægtes og den samlede belastning af risikofaktorer må vurderes. F.eks. vil en genetisk disposition formentlig ikke betyde noget, hvis årsagen er at personens mor blev diagnosticeret med osteoporose i 85</w:t>
      </w:r>
      <w:r>
        <w:rPr>
          <w:lang w:eastAsia="da-DK"/>
        </w:rPr>
        <w:t>-</w:t>
      </w:r>
      <w:r w:rsidRPr="00F22997">
        <w:rPr>
          <w:lang w:eastAsia="da-DK"/>
        </w:rPr>
        <w:t>års</w:t>
      </w:r>
      <w:r>
        <w:rPr>
          <w:lang w:eastAsia="da-DK"/>
        </w:rPr>
        <w:t xml:space="preserve"> </w:t>
      </w:r>
      <w:r w:rsidRPr="00F22997">
        <w:rPr>
          <w:lang w:eastAsia="da-DK"/>
        </w:rPr>
        <w:t>alderen uden at have haft brud, mens genetisk disposition formentlig har betydelig vægtning hvis der er tale om at personens mor havde haft flere osteoporoserelaterede brud i 60</w:t>
      </w:r>
      <w:r>
        <w:rPr>
          <w:lang w:eastAsia="da-DK"/>
        </w:rPr>
        <w:t>-</w:t>
      </w:r>
      <w:r w:rsidRPr="00F22997">
        <w:rPr>
          <w:lang w:eastAsia="da-DK"/>
        </w:rPr>
        <w:t>års</w:t>
      </w:r>
      <w:r>
        <w:rPr>
          <w:lang w:eastAsia="da-DK"/>
        </w:rPr>
        <w:t xml:space="preserve"> </w:t>
      </w:r>
      <w:r w:rsidRPr="00F22997">
        <w:rPr>
          <w:lang w:eastAsia="da-DK"/>
        </w:rPr>
        <w:t>alderen. Epikriser om brud der kan være osteoporoserelaterede kan være en anledning til at overveje udredning.</w:t>
      </w:r>
    </w:p>
    <w:p w14:paraId="2B44A21C" w14:textId="77777777" w:rsidR="00F22997" w:rsidRPr="00F22997" w:rsidRDefault="00F22997" w:rsidP="00F22997">
      <w:pPr>
        <w:rPr>
          <w:lang w:eastAsia="da-DK"/>
        </w:rPr>
      </w:pPr>
      <w:r w:rsidRPr="00F22997">
        <w:rPr>
          <w:lang w:eastAsia="da-DK"/>
        </w:rPr>
        <w:t>Ved prednisolonbehandling skal osteoporose forebyggelse altid overvejes. Det er vigtigt med tilstrækkeligt D-vitamin og kalk, og der vil ofte være behov for tilskud. Prednisolonbehandling der forventes at overstige 5 mg dagligt i 3 måneder eller en akkumuleret dosis på 450 mg årligt skal lede til overvejelse om DXA tidligt i behandlingen. Se afsnit xx.</w:t>
      </w:r>
    </w:p>
    <w:p w14:paraId="030BCC18" w14:textId="77578448" w:rsidR="00F22997" w:rsidRDefault="00F22997" w:rsidP="00F22997">
      <w:pPr>
        <w:rPr>
          <w:lang w:eastAsia="da-DK"/>
        </w:rPr>
      </w:pPr>
      <w:r w:rsidRPr="00F22997">
        <w:rPr>
          <w:lang w:eastAsia="da-DK"/>
        </w:rPr>
        <w:t>Mange kroniske sygdomme kan øge risikoen for at udvikle osteoporose og derfor skal osteoporose indtænkes i disse sygdommes kontroller og behandling.</w:t>
      </w:r>
    </w:p>
    <w:p w14:paraId="737AADA6" w14:textId="68BF4509" w:rsidR="00F22997" w:rsidRPr="00F22997" w:rsidRDefault="00F22997" w:rsidP="00F22997">
      <w:pPr>
        <w:rPr>
          <w:lang w:eastAsia="da-DK"/>
        </w:rPr>
      </w:pPr>
      <w:r>
        <w:rPr>
          <w:noProof/>
          <w:lang w:eastAsia="da-DK"/>
        </w:rPr>
        <w:lastRenderedPageBreak/>
        <mc:AlternateContent>
          <mc:Choice Requires="wps">
            <w:drawing>
              <wp:inline distT="0" distB="0" distL="0" distR="0" wp14:anchorId="0CC866CE" wp14:editId="7F1C9BF6">
                <wp:extent cx="5562600" cy="1404620"/>
                <wp:effectExtent l="0" t="0" r="19050" b="21590"/>
                <wp:docPr id="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04620"/>
                        </a:xfrm>
                        <a:prstGeom prst="rect">
                          <a:avLst/>
                        </a:prstGeom>
                        <a:solidFill>
                          <a:srgbClr val="FFFFFF"/>
                        </a:solidFill>
                        <a:ln w="9525">
                          <a:solidFill>
                            <a:srgbClr val="000000"/>
                          </a:solidFill>
                          <a:miter lim="800000"/>
                          <a:headEnd/>
                          <a:tailEnd/>
                        </a:ln>
                      </wps:spPr>
                      <wps:txbx>
                        <w:txbxContent>
                          <w:p w14:paraId="6ED02199" w14:textId="0C91DAAD" w:rsidR="00543804" w:rsidRDefault="00543804" w:rsidP="00F22997">
                            <w:pPr>
                              <w:spacing w:after="60" w:line="240" w:lineRule="auto"/>
                            </w:pPr>
                            <w:r>
                              <w:t>Osteoporose bringes op i samtale ved relevante brud, svær genetisk disposition, udtalte risikofaktorer eller en kombination af risikofaktorer.</w:t>
                            </w:r>
                          </w:p>
                          <w:p w14:paraId="41A5DA4D" w14:textId="31F7D467" w:rsidR="00543804" w:rsidRDefault="00543804" w:rsidP="00F22997">
                            <w:pPr>
                              <w:spacing w:after="60" w:line="240" w:lineRule="auto"/>
                            </w:pPr>
                            <w:r>
                              <w:t>Ved prednisolonbehandling skal osteoporoseforebyggelse altid overvejes.</w:t>
                            </w:r>
                          </w:p>
                          <w:p w14:paraId="463456CF" w14:textId="527EDE9C" w:rsidR="00543804" w:rsidRDefault="00543804" w:rsidP="00F22997">
                            <w:pPr>
                              <w:spacing w:after="60" w:line="240" w:lineRule="auto"/>
                            </w:pPr>
                            <w:r>
                              <w:t>Ved sygdomme der kan medføre osteoporose, skal  osteoporose indtænkes i kontroller og behandling.</w:t>
                            </w:r>
                          </w:p>
                        </w:txbxContent>
                      </wps:txbx>
                      <wps:bodyPr rot="0" vert="horz" wrap="square" lIns="91440" tIns="45720" rIns="91440" bIns="45720" anchor="t" anchorCtr="0">
                        <a:spAutoFit/>
                      </wps:bodyPr>
                    </wps:wsp>
                  </a:graphicData>
                </a:graphic>
              </wp:inline>
            </w:drawing>
          </mc:Choice>
          <mc:Fallback>
            <w:pict>
              <v:shapetype w14:anchorId="0CC866CE" id="_x0000_t202" coordsize="21600,21600" o:spt="202" path="m,l,21600r21600,l21600,xe">
                <v:stroke joinstyle="miter"/>
                <v:path gradientshapeok="t" o:connecttype="rect"/>
              </v:shapetype>
              <v:shape id="Tekstfelt 2" o:spid="_x0000_s1026" type="#_x0000_t202" style="width:43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">
                <v:textbox style="mso-fit-shape-to-text:t">
                  <w:txbxContent>
                    <w:p w14:paraId="6ED02199" w14:textId="0C91DAAD" w:rsidR="00543804" w:rsidRDefault="00543804" w:rsidP="00F22997">
                      <w:pPr>
                        <w:spacing w:after="60" w:line="240" w:lineRule="auto"/>
                      </w:pPr>
                      <w:r>
                        <w:t>Osteoporose bringes op i samtale ved relevante brud, svær genetisk disposition, udtalte risikofaktorer eller en kombination af risikofaktorer.</w:t>
                      </w:r>
                    </w:p>
                    <w:p w14:paraId="41A5DA4D" w14:textId="31F7D467" w:rsidR="00543804" w:rsidRDefault="00543804" w:rsidP="00F22997">
                      <w:pPr>
                        <w:spacing w:after="60" w:line="240" w:lineRule="auto"/>
                      </w:pPr>
                      <w:r>
                        <w:t>Ved prednisolonbehandling skal osteoporoseforebyggelse altid overvejes.</w:t>
                      </w:r>
                    </w:p>
                    <w:p w14:paraId="463456CF" w14:textId="527EDE9C" w:rsidR="00543804" w:rsidRDefault="00543804" w:rsidP="00F22997">
                      <w:pPr>
                        <w:spacing w:after="60" w:line="240" w:lineRule="auto"/>
                      </w:pPr>
                      <w:r>
                        <w:t>Ved sygdomme der kan medføre osteoporose, skal  osteoporose indtænkes i kontroller og behandling.</w:t>
                      </w:r>
                    </w:p>
                  </w:txbxContent>
                </v:textbox>
                <w10:anchorlock/>
              </v:shape>
            </w:pict>
          </mc:Fallback>
        </mc:AlternateContent>
      </w:r>
    </w:p>
    <w:p w14:paraId="0113F89D" w14:textId="77777777" w:rsidR="00F22997" w:rsidRDefault="00F22997" w:rsidP="004C4783">
      <w:pPr>
        <w:pStyle w:val="NormalWeb"/>
        <w:spacing w:before="0" w:beforeAutospacing="0" w:after="200" w:afterAutospacing="0" w:line="276" w:lineRule="auto"/>
        <w:rPr>
          <w:rFonts w:ascii="Calibri" w:hAnsi="Calibri" w:cs="Calibri"/>
          <w:color w:val="000000"/>
          <w:sz w:val="22"/>
          <w:szCs w:val="22"/>
        </w:rPr>
      </w:pPr>
    </w:p>
    <w:p w14:paraId="75F62568" w14:textId="77777777" w:rsidR="00F22997" w:rsidRDefault="00F22997" w:rsidP="004C4783">
      <w:pPr>
        <w:pStyle w:val="NormalWeb"/>
        <w:spacing w:before="0" w:beforeAutospacing="0" w:after="200" w:afterAutospacing="0" w:line="276" w:lineRule="auto"/>
        <w:rPr>
          <w:rFonts w:ascii="Calibri" w:hAnsi="Calibri" w:cs="Calibri"/>
          <w:color w:val="000000"/>
          <w:sz w:val="22"/>
          <w:szCs w:val="22"/>
        </w:rPr>
      </w:pPr>
    </w:p>
    <w:p w14:paraId="7506CAE1" w14:textId="77777777" w:rsidR="00F22997" w:rsidRDefault="00F22997">
      <w:pPr>
        <w:rPr>
          <w:rFonts w:ascii="Calibri" w:eastAsia="Times New Roman" w:hAnsi="Calibri" w:cs="Calibri"/>
          <w:color w:val="000000"/>
          <w:lang w:eastAsia="da-DK"/>
        </w:rPr>
      </w:pPr>
      <w:r>
        <w:rPr>
          <w:rFonts w:ascii="Calibri" w:hAnsi="Calibri" w:cs="Calibri"/>
          <w:color w:val="000000"/>
        </w:rPr>
        <w:br w:type="page"/>
      </w:r>
    </w:p>
    <w:p w14:paraId="3B56FEF7" w14:textId="77777777" w:rsidR="00774166" w:rsidRPr="00774166" w:rsidRDefault="00774166" w:rsidP="00774166">
      <w:pPr>
        <w:rPr>
          <w:b/>
          <w:bCs/>
        </w:rPr>
      </w:pPr>
      <w:r w:rsidRPr="00774166">
        <w:rPr>
          <w:b/>
          <w:bCs/>
        </w:rPr>
        <w:lastRenderedPageBreak/>
        <w:t>Opfølgning i praksis ved osteoporose</w:t>
      </w:r>
    </w:p>
    <w:p w14:paraId="13801470" w14:textId="77777777" w:rsidR="00774166" w:rsidRDefault="00774166" w:rsidP="00774166">
      <w:pPr>
        <w:spacing w:after="120"/>
      </w:pPr>
      <w:r>
        <w:t>1. Opfølgning af personer der har øget risiko for at udvikle osteoporose.</w:t>
      </w:r>
    </w:p>
    <w:p w14:paraId="339CC3D6" w14:textId="77777777" w:rsidR="00774166" w:rsidRDefault="00774166" w:rsidP="00774166">
      <w:pPr>
        <w:spacing w:after="120"/>
      </w:pPr>
      <w:r>
        <w:t>2. Opfølgning af patienter sat i behandling med bisfosfonat.</w:t>
      </w:r>
    </w:p>
    <w:p w14:paraId="2011B698" w14:textId="77777777" w:rsidR="00774166" w:rsidRDefault="00774166" w:rsidP="00774166">
      <w:pPr>
        <w:spacing w:after="120"/>
      </w:pPr>
      <w:r>
        <w:t>3. Opfølgning af patienter sat i behandling med denosumab.</w:t>
      </w:r>
    </w:p>
    <w:p w14:paraId="6296B47E" w14:textId="77777777" w:rsidR="00774166" w:rsidRDefault="00774166" w:rsidP="00774166">
      <w:pPr>
        <w:spacing w:after="120"/>
      </w:pPr>
      <w:r>
        <w:t>4. Opfølgning af patienter efter afsluttet behandling.</w:t>
      </w:r>
    </w:p>
    <w:p w14:paraId="4A97265B" w14:textId="77777777" w:rsidR="00774166" w:rsidRDefault="00774166" w:rsidP="00774166">
      <w:r>
        <w:t>5. Opfølgning af patienter i behandling med prednisolon.</w:t>
      </w:r>
    </w:p>
    <w:p w14:paraId="5F1BF78E" w14:textId="77777777" w:rsidR="00774166" w:rsidRDefault="00774166" w:rsidP="00774166">
      <w:pPr>
        <w:rPr>
          <w:b/>
          <w:bCs/>
          <w:i/>
          <w:iCs/>
        </w:rPr>
      </w:pPr>
    </w:p>
    <w:p w14:paraId="23A75012" w14:textId="59BA675B" w:rsidR="00774166" w:rsidRPr="00774166" w:rsidRDefault="00774166" w:rsidP="00774166">
      <w:pPr>
        <w:rPr>
          <w:b/>
          <w:bCs/>
          <w:i/>
          <w:iCs/>
        </w:rPr>
      </w:pPr>
      <w:r w:rsidRPr="00774166">
        <w:rPr>
          <w:b/>
          <w:bCs/>
          <w:i/>
          <w:iCs/>
        </w:rPr>
        <w:t>1. Opfølgning af personer der har øget risiko for at udvikle osteoporose</w:t>
      </w:r>
    </w:p>
    <w:p w14:paraId="64B7824D" w14:textId="77777777" w:rsidR="00774166" w:rsidRDefault="00774166" w:rsidP="00774166">
      <w:r>
        <w:t>Disse personer vil udgøre en meget forskelligartet gruppe. Mange vil have en kronisk lidelse, som i sig selv berettiger et årligt statusbesøg, hvor risikoen for osteoporose kan overvejes. Under alle forhold er det vigtig at sikre en knoglevenlig livsstil og sufficient D-vitamin og kalk.</w:t>
      </w:r>
    </w:p>
    <w:p w14:paraId="6F0EB3EA" w14:textId="300BAD1B" w:rsidR="00774166" w:rsidRDefault="00774166" w:rsidP="00774166">
      <w:r>
        <w:t xml:space="preserve">Hvis ikke der er </w:t>
      </w:r>
      <w:r w:rsidR="00EF1E1B">
        <w:t>grund til</w:t>
      </w:r>
      <w:r>
        <w:t xml:space="preserve"> et årigt statusbesøg pga. anden lidelse, kan en ny kontrol aftales, som typisk vil ligge fem eller ti år frem i tiden, afhængigt af årsagen til osteoporosemistanken.</w:t>
      </w:r>
    </w:p>
    <w:p w14:paraId="2708E19C" w14:textId="77777777" w:rsidR="00774166" w:rsidRDefault="00774166" w:rsidP="00774166"/>
    <w:p w14:paraId="22190016" w14:textId="4EF4F932" w:rsidR="00774166" w:rsidRPr="00774166" w:rsidRDefault="00774166" w:rsidP="00774166">
      <w:pPr>
        <w:rPr>
          <w:b/>
          <w:bCs/>
          <w:i/>
          <w:iCs/>
        </w:rPr>
      </w:pPr>
      <w:r w:rsidRPr="00774166">
        <w:rPr>
          <w:b/>
          <w:bCs/>
          <w:i/>
          <w:iCs/>
        </w:rPr>
        <w:t>2. Opfølgning af personer sat i behandling med bisfosfonat</w:t>
      </w:r>
    </w:p>
    <w:p w14:paraId="34250B02" w14:textId="77777777" w:rsidR="00774166" w:rsidRPr="00EF1E1B" w:rsidRDefault="00774166" w:rsidP="00774166">
      <w:pPr>
        <w:rPr>
          <w:u w:val="single"/>
        </w:rPr>
      </w:pPr>
      <w:r w:rsidRPr="00EF1E1B">
        <w:rPr>
          <w:u w:val="single"/>
        </w:rPr>
        <w:t>Start</w:t>
      </w:r>
    </w:p>
    <w:p w14:paraId="682EF69D" w14:textId="77777777" w:rsidR="00543804" w:rsidRDefault="00774166" w:rsidP="00774166">
      <w:r>
        <w:t xml:space="preserve">Før behandling skal tages P1NP. </w:t>
      </w:r>
    </w:p>
    <w:p w14:paraId="0C241C5A" w14:textId="6CB7CD1C" w:rsidR="00774166" w:rsidRDefault="00774166" w:rsidP="00774166">
      <w:r>
        <w:t xml:space="preserve">Der sikres at eGFR &gt; 35 </w:t>
      </w:r>
      <w:r w:rsidR="00902C56">
        <w:t>mL/min/1,73 m</w:t>
      </w:r>
      <w:r w:rsidR="00902C56" w:rsidRPr="0028270A">
        <w:rPr>
          <w:vertAlign w:val="superscript"/>
        </w:rPr>
        <w:t>2</w:t>
      </w:r>
      <w:r>
        <w:t>, D-vitamin 70-110 nmol/l og at der ikke foreligger hypocalciæmi.</w:t>
      </w:r>
    </w:p>
    <w:p w14:paraId="59F0A0BC" w14:textId="6741A822" w:rsidR="00304C3F" w:rsidRDefault="00304C3F" w:rsidP="00774166">
      <w:r>
        <w:t>Patienten instrueres i medicinindtagelse.</w:t>
      </w:r>
    </w:p>
    <w:p w14:paraId="603E9F09" w14:textId="7BAC3B8F" w:rsidR="006B5829" w:rsidRDefault="006B5829" w:rsidP="00774166">
      <w:r>
        <w:t>Højde noteres og gentages ved behov ved senere opfølgende besøg</w:t>
      </w:r>
    </w:p>
    <w:p w14:paraId="60606D41" w14:textId="77777777" w:rsidR="00774166" w:rsidRPr="00EF1E1B" w:rsidRDefault="00774166" w:rsidP="00774166">
      <w:pPr>
        <w:rPr>
          <w:u w:val="single"/>
        </w:rPr>
      </w:pPr>
      <w:r w:rsidRPr="00EF1E1B">
        <w:rPr>
          <w:u w:val="single"/>
        </w:rPr>
        <w:t>3 måneder</w:t>
      </w:r>
    </w:p>
    <w:p w14:paraId="631F1231" w14:textId="7B6761F9" w:rsidR="008C68FF" w:rsidRPr="008C68FF" w:rsidRDefault="008C68FF" w:rsidP="00902C56">
      <w:pPr>
        <w:rPr>
          <w:rFonts w:cstheme="minorHAnsi"/>
          <w:color w:val="000000"/>
        </w:rPr>
      </w:pPr>
      <w:r>
        <w:t xml:space="preserve">P1NP gentages for at vurdere effekten af behandlingen. Hvis faldet i P1NP er </w:t>
      </w:r>
      <w:r>
        <w:rPr>
          <w:rFonts w:cstheme="minorHAnsi"/>
          <w:color w:val="000000"/>
        </w:rPr>
        <w:t>≥ 30% sammenlignet med værdien før behandlingsstart, må medicin betragtes som at have den ønskede effekt. Hvis faldet er ≤ 30% må årsagen forsøges lokaliseret og korrigeret. Hvis der ikke en nogen oplagt årsag, må medicinskifte</w:t>
      </w:r>
      <w:r w:rsidR="00543804">
        <w:rPr>
          <w:rFonts w:cstheme="minorHAnsi"/>
          <w:color w:val="000000"/>
        </w:rPr>
        <w:t xml:space="preserve"> overvejes</w:t>
      </w:r>
      <w:r>
        <w:rPr>
          <w:rFonts w:cstheme="minorHAnsi"/>
          <w:color w:val="000000"/>
        </w:rPr>
        <w:t>.</w:t>
      </w:r>
    </w:p>
    <w:p w14:paraId="2F968946" w14:textId="07831BD6" w:rsidR="00304C3F" w:rsidRDefault="00304C3F" w:rsidP="00902C56">
      <w:r>
        <w:t>Der spørges ind til</w:t>
      </w:r>
      <w:r w:rsidR="00543804">
        <w:t>,</w:t>
      </w:r>
      <w:r>
        <w:t xml:space="preserve"> hvordan patienten har det, eventuelle bekymringer, opfattelse af sygdommen, medicinbivirkninger, adhærence til behandlingen og sikres at medicinen tages korrekt.</w:t>
      </w:r>
      <w:r w:rsidR="008C68FF">
        <w:t xml:space="preserve"> Der skal opfordres til knoglevenlig livsstil. Mange vil være bekymrede for at brække noget</w:t>
      </w:r>
      <w:r w:rsidR="00543804">
        <w:t>,</w:t>
      </w:r>
      <w:r w:rsidR="008C68FF">
        <w:t xml:space="preserve"> og det er meget vigtigt at sikre at diagnosen ikke begrænser deres udfoldelsesmuligheder.  Henvis gerne til Sundhedsstyrelsens app </w:t>
      </w:r>
      <w:r w:rsidR="008C68FF" w:rsidRPr="0070464F">
        <w:t>”</w:t>
      </w:r>
      <w:r w:rsidR="008C68FF">
        <w:t>M</w:t>
      </w:r>
      <w:r w:rsidR="008C68FF" w:rsidRPr="0070464F">
        <w:t>ine</w:t>
      </w:r>
      <w:r w:rsidR="008C68FF">
        <w:t xml:space="preserve"> K</w:t>
      </w:r>
      <w:r w:rsidR="008C68FF" w:rsidRPr="0070464F">
        <w:t>nogler”</w:t>
      </w:r>
      <w:r w:rsidR="008C68FF">
        <w:t>.</w:t>
      </w:r>
    </w:p>
    <w:p w14:paraId="1BC14DE4" w14:textId="77777777" w:rsidR="008C68FF" w:rsidRDefault="008C68FF" w:rsidP="008C68FF">
      <w:pPr>
        <w:rPr>
          <w:u w:val="single"/>
        </w:rPr>
      </w:pPr>
    </w:p>
    <w:p w14:paraId="63C5BC1A" w14:textId="77777777" w:rsidR="008C68FF" w:rsidRDefault="008C68FF" w:rsidP="008C68FF">
      <w:pPr>
        <w:rPr>
          <w:u w:val="single"/>
        </w:rPr>
      </w:pPr>
    </w:p>
    <w:p w14:paraId="2D23833D" w14:textId="61D5D7D4" w:rsidR="008C68FF" w:rsidRDefault="000A584A" w:rsidP="008C68FF">
      <w:pPr>
        <w:rPr>
          <w:u w:val="single"/>
        </w:rPr>
      </w:pPr>
      <w:r w:rsidRPr="008C68FF">
        <w:rPr>
          <w:u w:val="single"/>
        </w:rPr>
        <w:t>Statusbesøg</w:t>
      </w:r>
    </w:p>
    <w:p w14:paraId="0A02993F" w14:textId="70EA05F9" w:rsidR="00E0070F" w:rsidRDefault="00E0070F" w:rsidP="008C68FF">
      <w:r>
        <w:t xml:space="preserve">Det er ikke strengt nødvendigt med en årlig kontrol, men ofte vil det give god mening at tale med </w:t>
      </w:r>
      <w:r w:rsidR="008C68FF">
        <w:t xml:space="preserve">patienten </w:t>
      </w:r>
      <w:r>
        <w:t>årligt om</w:t>
      </w:r>
      <w:r w:rsidR="00EF310A">
        <w:t>,</w:t>
      </w:r>
      <w:r>
        <w:t xml:space="preserve"> hvordan det går. </w:t>
      </w:r>
      <w:r w:rsidR="00EF310A">
        <w:t>Mange kommer i forvejen til en års</w:t>
      </w:r>
      <w:r w:rsidR="000A584A">
        <w:t>status</w:t>
      </w:r>
      <w:r w:rsidR="00EF310A">
        <w:t>, og så kan det medtages der, hvis det tidsmæssigt kan nås og giver mening.</w:t>
      </w:r>
    </w:p>
    <w:p w14:paraId="20BDB013" w14:textId="6EA372BD" w:rsidR="00E0070F" w:rsidRDefault="0027470D" w:rsidP="008C68FF">
      <w:r>
        <w:t>Knoglevenlig liv</w:t>
      </w:r>
      <w:r w:rsidR="000652EA">
        <w:t>s</w:t>
      </w:r>
      <w:r>
        <w:t>stil og fastholdelse af behandlingen</w:t>
      </w:r>
      <w:r w:rsidR="00E0070F">
        <w:t xml:space="preserve"> er vigtig. Det er vigtigt</w:t>
      </w:r>
      <w:r w:rsidR="000652EA">
        <w:t>,</w:t>
      </w:r>
      <w:r w:rsidR="00E0070F">
        <w:t xml:space="preserve"> at bisfosfonat indtages på den rigtige måde, da den ellers ikke virker. Desuden er det vigtigt at sikre</w:t>
      </w:r>
      <w:r w:rsidR="000652EA">
        <w:t>,</w:t>
      </w:r>
      <w:r w:rsidR="00E0070F">
        <w:t xml:space="preserve"> at </w:t>
      </w:r>
      <w:r w:rsidR="004401C5">
        <w:t>personen</w:t>
      </w:r>
      <w:r w:rsidR="00E0070F">
        <w:t xml:space="preserve"> tager relevante mængder af D</w:t>
      </w:r>
      <w:r w:rsidR="000652EA">
        <w:t>-</w:t>
      </w:r>
      <w:r w:rsidR="00E0070F">
        <w:t xml:space="preserve">vitamin og kalk. </w:t>
      </w:r>
    </w:p>
    <w:p w14:paraId="2818867F" w14:textId="6AB9DFF1" w:rsidR="00E0070F" w:rsidRDefault="00E0070F" w:rsidP="008C68FF">
      <w:r>
        <w:t xml:space="preserve">Det kan overvejes at </w:t>
      </w:r>
      <w:r w:rsidR="00407687">
        <w:t>kontrollere</w:t>
      </w:r>
      <w:r>
        <w:t xml:space="preserve"> nyrefunktionen</w:t>
      </w:r>
      <w:r w:rsidR="00407687">
        <w:t xml:space="preserve"> og sikre</w:t>
      </w:r>
      <w:r>
        <w:t xml:space="preserve"> at eGFR </w:t>
      </w:r>
      <w:r w:rsidR="00407687">
        <w:t>&gt; 35 mL/min/1,73 m</w:t>
      </w:r>
      <w:r w:rsidR="00407687" w:rsidRPr="0028270A">
        <w:rPr>
          <w:vertAlign w:val="superscript"/>
        </w:rPr>
        <w:t>2</w:t>
      </w:r>
      <w:r>
        <w:t xml:space="preserve">. Er </w:t>
      </w:r>
      <w:r w:rsidR="00407687">
        <w:t xml:space="preserve">eGFR </w:t>
      </w:r>
      <w:r w:rsidR="00407687">
        <w:rPr>
          <w:rFonts w:cstheme="minorHAnsi"/>
        </w:rPr>
        <w:t xml:space="preserve">&lt; </w:t>
      </w:r>
      <w:r>
        <w:t xml:space="preserve">50 </w:t>
      </w:r>
      <w:r w:rsidR="00407687">
        <w:t xml:space="preserve">mL/min/1,73 </w:t>
      </w:r>
      <w:r w:rsidR="00407687" w:rsidRPr="00407687">
        <w:t>m</w:t>
      </w:r>
      <w:r w:rsidR="00407687" w:rsidRPr="00407687">
        <w:rPr>
          <w:vertAlign w:val="superscript"/>
        </w:rPr>
        <w:t>2</w:t>
      </w:r>
      <w:r w:rsidR="00407687">
        <w:t xml:space="preserve"> vil der ofte være behov for hyppig kontrol</w:t>
      </w:r>
      <w:r>
        <w:t xml:space="preserve"> </w:t>
      </w:r>
      <w:r w:rsidR="00407687">
        <w:t>af nyrefunktionen</w:t>
      </w:r>
      <w:r>
        <w:t xml:space="preserve">. </w:t>
      </w:r>
    </w:p>
    <w:p w14:paraId="4FEC7573" w14:textId="5625BDCE" w:rsidR="00E0070F" w:rsidRPr="00851820" w:rsidRDefault="00221F31" w:rsidP="008C68FF">
      <w:r>
        <w:t xml:space="preserve">Ved mistanke om </w:t>
      </w:r>
      <w:r w:rsidR="00851820">
        <w:t xml:space="preserve">mistanke om </w:t>
      </w:r>
      <w:r w:rsidR="00543804">
        <w:t xml:space="preserve">manglende </w:t>
      </w:r>
      <w:r w:rsidR="00851820">
        <w:t>adhærence, ka</w:t>
      </w:r>
      <w:r>
        <w:t>n der evt</w:t>
      </w:r>
      <w:r w:rsidR="000652EA">
        <w:t>.</w:t>
      </w:r>
      <w:r>
        <w:t xml:space="preserve"> tages knoglemarkør. </w:t>
      </w:r>
    </w:p>
    <w:p w14:paraId="3D62A946" w14:textId="4F34D755" w:rsidR="00E0070F" w:rsidRPr="00687B94" w:rsidRDefault="00E0070F" w:rsidP="008C68FF">
      <w:r w:rsidRPr="00687B94">
        <w:t>Vores anbefaling at der efter 2</w:t>
      </w:r>
      <w:r w:rsidR="00851820">
        <w:t>-</w:t>
      </w:r>
      <w:r w:rsidRPr="00687B94">
        <w:t>3 år under alle forhold laves en års</w:t>
      </w:r>
      <w:r w:rsidR="000A584A">
        <w:t>status</w:t>
      </w:r>
      <w:r w:rsidR="00903A24">
        <w:t>. Her gennemgås den</w:t>
      </w:r>
      <w:r w:rsidRPr="00687B94">
        <w:t xml:space="preserve"> samlede situation</w:t>
      </w:r>
      <w:r w:rsidR="00903A24">
        <w:t>,</w:t>
      </w:r>
      <w:r>
        <w:t xml:space="preserve"> </w:t>
      </w:r>
      <w:r w:rsidR="00903A24">
        <w:t xml:space="preserve">knoglevenlig livsstil diskuteres, </w:t>
      </w:r>
      <w:r>
        <w:t>og nyrefunktion og D</w:t>
      </w:r>
      <w:r w:rsidR="000652EA">
        <w:t>-</w:t>
      </w:r>
      <w:r>
        <w:t xml:space="preserve">vitamin niveau </w:t>
      </w:r>
      <w:r w:rsidR="00903A24">
        <w:t>kontrolleres.</w:t>
      </w:r>
      <w:r w:rsidR="0027470D">
        <w:t xml:space="preserve"> </w:t>
      </w:r>
      <w:r w:rsidR="00903A24">
        <w:t>Hvis knoglemarkørerne har vist sikker effekt af behandlingen, er det typisk først nødvendigt med DXA-skanning efter 5 års behandling. I tilfælde hvor der er tale om en invaliderende osteoporose eller meget lav T-score, vil det ofte være fornuftigt at foretage DXA-skanning efter 2-3 år, for</w:t>
      </w:r>
      <w:r w:rsidR="000626D6">
        <w:t xml:space="preserve"> med </w:t>
      </w:r>
      <w:r w:rsidR="0074579C">
        <w:t>større sandsynlighed</w:t>
      </w:r>
      <w:r w:rsidR="000626D6">
        <w:t xml:space="preserve"> bekræfte effekten af behandlingen.</w:t>
      </w:r>
      <w:r w:rsidR="00903A24">
        <w:t xml:space="preserve"> </w:t>
      </w:r>
      <w:r w:rsidR="0027470D" w:rsidRPr="00687B94">
        <w:t xml:space="preserve"> </w:t>
      </w:r>
    </w:p>
    <w:p w14:paraId="09CE73B5" w14:textId="27B0B19F" w:rsidR="00E0070F" w:rsidRPr="00462244" w:rsidRDefault="00E0070F" w:rsidP="00462244">
      <w:pPr>
        <w:rPr>
          <w:u w:val="single"/>
        </w:rPr>
      </w:pPr>
      <w:r w:rsidRPr="00462244">
        <w:rPr>
          <w:u w:val="single"/>
        </w:rPr>
        <w:t xml:space="preserve">Efter 5 </w:t>
      </w:r>
      <w:r w:rsidR="003C0116" w:rsidRPr="00462244">
        <w:rPr>
          <w:u w:val="single"/>
        </w:rPr>
        <w:t>år</w:t>
      </w:r>
    </w:p>
    <w:p w14:paraId="409AF01C" w14:textId="5A5D439F" w:rsidR="003C0116" w:rsidRDefault="003C0116" w:rsidP="00462244">
      <w:r>
        <w:t xml:space="preserve">Der foretages DXA-skanning. Hvis T-score </w:t>
      </w:r>
      <w:r>
        <w:rPr>
          <w:rFonts w:cstheme="minorHAnsi"/>
        </w:rPr>
        <w:t>≥</w:t>
      </w:r>
      <w:r>
        <w:t xml:space="preserve"> -2,5 og patiente</w:t>
      </w:r>
      <w:r w:rsidR="00462244">
        <w:t>n</w:t>
      </w:r>
      <w:r>
        <w:t xml:space="preserve"> ikke har haft sammenfald i ryggen eller hoftenært brud</w:t>
      </w:r>
      <w:r w:rsidR="0074579C">
        <w:t xml:space="preserve"> indenfor de sidste år,</w:t>
      </w:r>
      <w:r>
        <w:t xml:space="preserve"> kan behandlingen </w:t>
      </w:r>
      <w:r w:rsidR="001133EE">
        <w:t>afsluttes</w:t>
      </w:r>
      <w:r>
        <w:t xml:space="preserve">. </w:t>
      </w:r>
      <w:r w:rsidR="00462244">
        <w:t>Der fortsættes dog med kalk og D-vitamin tilskud i relevante doser</w:t>
      </w:r>
      <w:r w:rsidR="0074579C">
        <w:t>,</w:t>
      </w:r>
      <w:r w:rsidR="001133EE">
        <w:t xml:space="preserve"> og d</w:t>
      </w:r>
      <w:r w:rsidR="00462244">
        <w:t>et sikres at patienten fortsat er opmærksom på knoglevenlig livsstil.</w:t>
      </w:r>
    </w:p>
    <w:p w14:paraId="3D3D5860" w14:textId="6750E40C" w:rsidR="00462244" w:rsidRDefault="00462244" w:rsidP="00462244">
      <w:r>
        <w:t>Ved behandlingssvigt må en årsag forsøges fundet og ellers må der skiftes til anden behandling eller henvises til specialist.</w:t>
      </w:r>
    </w:p>
    <w:p w14:paraId="25498CC8" w14:textId="11AAA821" w:rsidR="00065750" w:rsidRDefault="00065750" w:rsidP="00462244"/>
    <w:p w14:paraId="5FE28D88" w14:textId="1BFFFED5" w:rsidR="00065750" w:rsidRPr="00065750" w:rsidRDefault="00065750" w:rsidP="00065750">
      <w:pPr>
        <w:spacing w:after="120"/>
        <w:rPr>
          <w:b/>
          <w:bCs/>
          <w:i/>
          <w:iCs/>
        </w:rPr>
      </w:pPr>
      <w:r w:rsidRPr="00065750">
        <w:rPr>
          <w:b/>
          <w:bCs/>
          <w:i/>
          <w:iCs/>
        </w:rPr>
        <w:t>3. Opfølgning af patienter sat i behandling med denosumab</w:t>
      </w:r>
    </w:p>
    <w:p w14:paraId="5B00BACD" w14:textId="56625766" w:rsidR="00065750" w:rsidRDefault="001501A8" w:rsidP="00462244">
      <w:pPr>
        <w:rPr>
          <w:u w:val="single"/>
        </w:rPr>
      </w:pPr>
      <w:r>
        <w:rPr>
          <w:u w:val="single"/>
        </w:rPr>
        <w:t>Start</w:t>
      </w:r>
    </w:p>
    <w:p w14:paraId="4E24B39A" w14:textId="33FD97CF" w:rsidR="001501A8" w:rsidRDefault="001501A8" w:rsidP="001501A8">
      <w:r>
        <w:t>Patienten informeres om at</w:t>
      </w:r>
      <w:r w:rsidR="0074579C">
        <w:t xml:space="preserve"> tidsintervallet på 6 måneder overholdes og at</w:t>
      </w:r>
      <w:r>
        <w:t xml:space="preserve"> behandlingen principielt er livslang og ved ønske om ophør skal gives bisfosfonat. </w:t>
      </w:r>
      <w:r w:rsidR="008311F3">
        <w:t xml:space="preserve">Desuden er det vigtigt at sikre, at personen tager relevante mængder af D-vitamin og kalk. </w:t>
      </w:r>
      <w:r>
        <w:t xml:space="preserve">Der </w:t>
      </w:r>
      <w:r w:rsidR="008311F3">
        <w:t>kontrolleres</w:t>
      </w:r>
      <w:r>
        <w:t xml:space="preserve"> at eGFR &gt; 35 mL/min/1,73 m</w:t>
      </w:r>
      <w:r w:rsidRPr="0028270A">
        <w:rPr>
          <w:vertAlign w:val="superscript"/>
        </w:rPr>
        <w:t>2</w:t>
      </w:r>
      <w:r>
        <w:t>, D-vitamin 70-110 nmol/l og at der ikke foreligger hypocalciæmi.</w:t>
      </w:r>
      <w:r w:rsidR="008311F3">
        <w:t xml:space="preserve"> </w:t>
      </w:r>
    </w:p>
    <w:p w14:paraId="3CF827FA" w14:textId="1E081FFF" w:rsidR="001501A8" w:rsidRPr="001501A8" w:rsidRDefault="001501A8" w:rsidP="001501A8">
      <w:pPr>
        <w:rPr>
          <w:u w:val="single"/>
        </w:rPr>
      </w:pPr>
      <w:r w:rsidRPr="001501A8">
        <w:rPr>
          <w:u w:val="single"/>
        </w:rPr>
        <w:t>Hver</w:t>
      </w:r>
      <w:r w:rsidR="008311F3">
        <w:rPr>
          <w:u w:val="single"/>
        </w:rPr>
        <w:t xml:space="preserve"> 6. måned</w:t>
      </w:r>
    </w:p>
    <w:p w14:paraId="22D9DDA5" w14:textId="478F88F6" w:rsidR="000D1CC3" w:rsidRDefault="0074579C" w:rsidP="00462244">
      <w:r>
        <w:t xml:space="preserve">I forbindelse med injektion </w:t>
      </w:r>
      <w:r w:rsidR="000D1CC3">
        <w:t>spørges ind til bivirkninger og opfattelse af sygdommen. Der diskuteres og opfordres til knoglevenlig livsstil.</w:t>
      </w:r>
    </w:p>
    <w:p w14:paraId="7E33DFC7" w14:textId="1EC56DF6" w:rsidR="000D1CC3" w:rsidRDefault="001501A8" w:rsidP="00462244">
      <w:r>
        <w:lastRenderedPageBreak/>
        <w:t xml:space="preserve">Denosumab injiceres </w:t>
      </w:r>
      <w:r w:rsidR="008311F3">
        <w:t xml:space="preserve">hver 6. måned livslangt. Der må ikke foreligge hypocalciæmi ved injektion, men der er ikke nødvendigvis behov for kontrol før hver injektion, </w:t>
      </w:r>
      <w:r w:rsidR="006C2053">
        <w:t xml:space="preserve">mindst årligt, ved ustabile patienter før hver injektion. </w:t>
      </w:r>
    </w:p>
    <w:p w14:paraId="38FF91C8" w14:textId="3F88795A" w:rsidR="000D1CC3" w:rsidRDefault="000D1CC3" w:rsidP="00462244"/>
    <w:p w14:paraId="71A44769" w14:textId="52B1C083" w:rsidR="000D1CC3" w:rsidRDefault="000D1CC3" w:rsidP="00462244">
      <w:pPr>
        <w:rPr>
          <w:b/>
          <w:bCs/>
          <w:i/>
          <w:iCs/>
        </w:rPr>
      </w:pPr>
      <w:r>
        <w:rPr>
          <w:b/>
          <w:bCs/>
          <w:i/>
          <w:iCs/>
        </w:rPr>
        <w:t>4. Opfølgning af patienter efter afsluttet behandling</w:t>
      </w:r>
    </w:p>
    <w:p w14:paraId="08334DB7" w14:textId="2D9AFAD8" w:rsidR="000D1CC3" w:rsidRDefault="0084454C" w:rsidP="00462244">
      <w:r>
        <w:t>Patientens samlede situation</w:t>
      </w:r>
      <w:r w:rsidR="00D004BA">
        <w:t>, risikoprofil</w:t>
      </w:r>
      <w:r>
        <w:t xml:space="preserve"> og ønsker diskuteres. Ud fra det aftales behov for fortsatte kontroller og hyppigheden. </w:t>
      </w:r>
      <w:r w:rsidR="00D004BA">
        <w:t xml:space="preserve">Ikke hyppigere end hvert andet år og ofte vil hvert 5. år være et rimeligt interval. Hvis der forekommer brud eller </w:t>
      </w:r>
      <w:r w:rsidR="00320730">
        <w:t>nytilkomne risikofaktorer må situationen revurderes.</w:t>
      </w:r>
      <w:r>
        <w:t xml:space="preserve"> </w:t>
      </w:r>
    </w:p>
    <w:p w14:paraId="2D95F481" w14:textId="7F27408D" w:rsidR="00320730" w:rsidRDefault="006C2053" w:rsidP="00462244">
      <w:r>
        <w:t xml:space="preserve">Under alle forhold er det </w:t>
      </w:r>
      <w:r w:rsidR="00320730">
        <w:t>vigtig af sikre en knoglevenlig livsstil og sufficient D-vitamin og kalk indtag.</w:t>
      </w:r>
    </w:p>
    <w:p w14:paraId="07B48990" w14:textId="340E07B2" w:rsidR="00320730" w:rsidRDefault="00320730" w:rsidP="00462244"/>
    <w:p w14:paraId="1949FBDA" w14:textId="590D8077" w:rsidR="00320730" w:rsidRDefault="00320730" w:rsidP="00462244">
      <w:pPr>
        <w:rPr>
          <w:b/>
          <w:bCs/>
          <w:i/>
          <w:iCs/>
        </w:rPr>
      </w:pPr>
      <w:r>
        <w:rPr>
          <w:b/>
          <w:bCs/>
          <w:i/>
          <w:iCs/>
        </w:rPr>
        <w:t>5. Opfølgning af patienter i behandling med prednisolon</w:t>
      </w:r>
    </w:p>
    <w:p w14:paraId="760643D2" w14:textId="1D2E2482" w:rsidR="00320730" w:rsidRDefault="00320730" w:rsidP="00462244">
      <w:r>
        <w:t xml:space="preserve">Hos mange prednisolonbehandlede patienter er der indikation for at forebygge et steroidinduceret knogletab. Hos nogle vil man finde en regelret osteoporose og her behandler man efter vanlige retningslinjer. </w:t>
      </w:r>
    </w:p>
    <w:p w14:paraId="0E3B42DB" w14:textId="0D4F3A21" w:rsidR="008843EA" w:rsidRDefault="008843EA" w:rsidP="00462244">
      <w:r>
        <w:t xml:space="preserve">Ved osteopeni ifm. prednisolonbehandling vil der typisk være indikation for forebyggende behandling </w:t>
      </w:r>
      <w:r w:rsidR="00C12CEC">
        <w:t xml:space="preserve">med </w:t>
      </w:r>
      <w:r>
        <w:t>bisfosfonat. Her kan man også benytte knoglemarkører for at sikre behandlingseffekt, men man skal være opmærksom på at kun CTX (som skal tages fastende) kan benyttes grundet prednisolon i sig selv hæmmer udskillelsen af P1NP. Den forebyggende behandling fortsættes indtil 1 år efter ophør af prednisolon.</w:t>
      </w:r>
      <w:r w:rsidR="00E56E88">
        <w:t xml:space="preserve"> Der er ikke i sig selv indikation for fornyet DXA-skanning, men ofte vil grundlidelsen være årsag til i fremtiden </w:t>
      </w:r>
      <w:r w:rsidR="00C83D5E">
        <w:t>at gentage DXA-skanningen.</w:t>
      </w:r>
    </w:p>
    <w:p w14:paraId="1654ADD6" w14:textId="75593C67" w:rsidR="00C83D5E" w:rsidRPr="00320730" w:rsidRDefault="00C83D5E" w:rsidP="00462244">
      <w:r>
        <w:t xml:space="preserve">Det er </w:t>
      </w:r>
      <w:r w:rsidR="007060CF">
        <w:t>vigtigt</w:t>
      </w:r>
      <w:r>
        <w:t xml:space="preserve"> at diskutere knoglevenlig livsstil og samtidigt sikre sufficient D-vitamin og kalk tilskud.</w:t>
      </w:r>
    </w:p>
    <w:p w14:paraId="011880FC" w14:textId="03C281A6" w:rsidR="00E0070F" w:rsidRDefault="00E0070F" w:rsidP="00E0070F">
      <w:pPr>
        <w:spacing w:after="0"/>
      </w:pPr>
    </w:p>
    <w:p w14:paraId="6EC07C38" w14:textId="5D079EF7" w:rsidR="00E0070F" w:rsidRPr="00F657B1" w:rsidRDefault="00F657B1" w:rsidP="00E0070F">
      <w:pPr>
        <w:rPr>
          <w:b/>
          <w:bCs/>
        </w:rPr>
      </w:pPr>
      <w:r>
        <w:rPr>
          <w:b/>
          <w:bCs/>
        </w:rPr>
        <w:t>Uddybende kommentarer til opfølgning og kontroller</w:t>
      </w:r>
    </w:p>
    <w:p w14:paraId="084DCCC5" w14:textId="77777777" w:rsidR="005E2FED" w:rsidRDefault="00E0070F" w:rsidP="00F657B1">
      <w:r w:rsidRPr="00F657B1">
        <w:t xml:space="preserve">Generelt er det vigtigt at </w:t>
      </w:r>
      <w:r w:rsidR="00F657B1">
        <w:t>motivere og oplyse patienterne</w:t>
      </w:r>
      <w:r w:rsidRPr="00F657B1">
        <w:t xml:space="preserve">, så de selv kan tage ansvar for deres </w:t>
      </w:r>
      <w:r w:rsidR="00F657B1">
        <w:t>knoglesundhed</w:t>
      </w:r>
      <w:r w:rsidR="005E2FED">
        <w:t xml:space="preserve"> </w:t>
      </w:r>
      <w:r w:rsidRPr="00F657B1">
        <w:t>og ikke</w:t>
      </w:r>
      <w:r w:rsidR="00F657B1">
        <w:t xml:space="preserve"> lader</w:t>
      </w:r>
      <w:r w:rsidRPr="00F657B1">
        <w:t xml:space="preserve"> bekymring</w:t>
      </w:r>
      <w:r w:rsidR="005E2FED">
        <w:t>er</w:t>
      </w:r>
      <w:r w:rsidRPr="00F657B1">
        <w:t xml:space="preserve"> </w:t>
      </w:r>
      <w:r w:rsidR="005E2FED">
        <w:t>føre til</w:t>
      </w:r>
      <w:r w:rsidRPr="00F657B1">
        <w:t xml:space="preserve"> inaktiv</w:t>
      </w:r>
      <w:r w:rsidR="005E2FED">
        <w:t>itet</w:t>
      </w:r>
      <w:r w:rsidRPr="00F657B1">
        <w:t xml:space="preserve">. </w:t>
      </w:r>
      <w:r w:rsidR="005E2FED">
        <w:t>D</w:t>
      </w:r>
      <w:r>
        <w:t xml:space="preserve">et </w:t>
      </w:r>
      <w:r w:rsidR="00D93890">
        <w:t xml:space="preserve">er </w:t>
      </w:r>
      <w:r>
        <w:t xml:space="preserve">vigtigt med </w:t>
      </w:r>
      <w:r w:rsidR="00557A7C">
        <w:t>motion og bevægelse</w:t>
      </w:r>
      <w:r>
        <w:t xml:space="preserve">, som samtidig styrker balance og koordination. </w:t>
      </w:r>
      <w:r w:rsidR="005E2FED">
        <w:t>Her kan Sundhedsstyrelsens app ”Mine knogler” være en god hjælp og støtte.</w:t>
      </w:r>
    </w:p>
    <w:p w14:paraId="25DBAEA7" w14:textId="7CABA1C5" w:rsidR="00E0070F" w:rsidRDefault="005E2FED" w:rsidP="00F657B1">
      <w:r>
        <w:t>Det er vigtigt at sikre en g</w:t>
      </w:r>
      <w:r w:rsidR="00E0070F">
        <w:t xml:space="preserve">od </w:t>
      </w:r>
      <w:r>
        <w:t xml:space="preserve">og varieret </w:t>
      </w:r>
      <w:r w:rsidR="00E0070F">
        <w:t>kost</w:t>
      </w:r>
      <w:r>
        <w:t xml:space="preserve"> med et tilstrækkeligt indhold af kalk. </w:t>
      </w:r>
      <w:r w:rsidR="001A046E">
        <w:t>Herudover bør det sikres at kosten har et sufficient kalorieindhold, så normalvægtige og undervægtige som minimum ikke taber sig.</w:t>
      </w:r>
    </w:p>
    <w:p w14:paraId="77C7F7A2" w14:textId="1456D93F" w:rsidR="00E0070F" w:rsidRDefault="001A046E" w:rsidP="00F657B1">
      <w:r>
        <w:t>Hvis kosten ikke kan dække kalk behovet må der suppleres med tilskud. Der vil typisk altid være behov for tilskud af D-vitamin.</w:t>
      </w:r>
    </w:p>
    <w:p w14:paraId="7637C823" w14:textId="61E05267" w:rsidR="00E0070F" w:rsidRDefault="001A046E" w:rsidP="00F657B1">
      <w:r>
        <w:t xml:space="preserve">Rygere opfordres til at ophøre og tilbydes vanlige rygestopforløb. Alkoholindtag bør ikke overstige de generelle anbefalinger fra Sundhedsstyrelsen. </w:t>
      </w:r>
    </w:p>
    <w:p w14:paraId="5505E857" w14:textId="5B2AB8D9" w:rsidR="00E0070F" w:rsidRDefault="00E0070F" w:rsidP="00F657B1">
      <w:r>
        <w:lastRenderedPageBreak/>
        <w:t>Der skal være opmærksomhed på medicin</w:t>
      </w:r>
      <w:r w:rsidR="00C6200A">
        <w:t xml:space="preserve"> der</w:t>
      </w:r>
      <w:r>
        <w:t xml:space="preserve"> sløve</w:t>
      </w:r>
      <w:r w:rsidR="00C6200A">
        <w:t>r</w:t>
      </w:r>
      <w:r>
        <w:t xml:space="preserve"> eller </w:t>
      </w:r>
      <w:r w:rsidR="00C6200A">
        <w:t>udløser</w:t>
      </w:r>
      <w:r>
        <w:t xml:space="preserve"> svimmel</w:t>
      </w:r>
      <w:r w:rsidR="00C6200A">
        <w:t>hed</w:t>
      </w:r>
      <w:r>
        <w:t xml:space="preserve"> (</w:t>
      </w:r>
      <w:r w:rsidR="000A7723">
        <w:t>eks a</w:t>
      </w:r>
      <w:r w:rsidR="00C6200A">
        <w:t>ntidepressiva</w:t>
      </w:r>
      <w:r w:rsidR="000A7723">
        <w:t xml:space="preserve">, </w:t>
      </w:r>
      <w:r>
        <w:t>psykofarmaka</w:t>
      </w:r>
      <w:r w:rsidR="000A7723">
        <w:t xml:space="preserve">, </w:t>
      </w:r>
      <w:r w:rsidR="00C6200A">
        <w:t>benzodiazepiner</w:t>
      </w:r>
      <w:r w:rsidR="000A7723">
        <w:t xml:space="preserve">, </w:t>
      </w:r>
      <w:r>
        <w:t>sovepiller</w:t>
      </w:r>
      <w:r w:rsidR="000A7723">
        <w:t xml:space="preserve">, </w:t>
      </w:r>
      <w:r w:rsidR="00C6200A">
        <w:t>antikolinergika</w:t>
      </w:r>
      <w:r>
        <w:t>),</w:t>
      </w:r>
      <w:r w:rsidR="00C6200A">
        <w:t xml:space="preserve"> giver ortostatisme </w:t>
      </w:r>
      <w:r>
        <w:t>(</w:t>
      </w:r>
      <w:r w:rsidR="000A7723">
        <w:t>eks a</w:t>
      </w:r>
      <w:r w:rsidR="00C6200A">
        <w:t>ntihypertensiva</w:t>
      </w:r>
      <w:r w:rsidR="000A7723">
        <w:t xml:space="preserve">, </w:t>
      </w:r>
      <w:r w:rsidR="00C6200A">
        <w:t>diuretika</w:t>
      </w:r>
      <w:r w:rsidR="000A7723">
        <w:t>, PDE-5 hæmmere</w:t>
      </w:r>
      <w:r>
        <w:t>)</w:t>
      </w:r>
      <w:r w:rsidR="000A7723">
        <w:t xml:space="preserve"> og </w:t>
      </w:r>
      <w:r>
        <w:t>medfører nedsat evne eller lyst til bevægelse (</w:t>
      </w:r>
      <w:r w:rsidR="000A7723">
        <w:t xml:space="preserve">eks </w:t>
      </w:r>
      <w:r>
        <w:t xml:space="preserve">statiner, betablokkere). </w:t>
      </w:r>
    </w:p>
    <w:p w14:paraId="0286F60E" w14:textId="406F3E33" w:rsidR="00E0070F" w:rsidRDefault="00E0070F" w:rsidP="00F657B1">
      <w:r>
        <w:t xml:space="preserve">Muligheden for at anvende </w:t>
      </w:r>
      <w:r w:rsidR="00BF2FEF">
        <w:t>hoftebeskyttere</w:t>
      </w:r>
      <w:r>
        <w:t xml:space="preserve">, fast eller ved bestemte situationer må også diskuteres jævnligt med </w:t>
      </w:r>
      <w:r w:rsidR="00EF3A29">
        <w:t>patienterne</w:t>
      </w:r>
      <w:r>
        <w:t xml:space="preserve">. </w:t>
      </w:r>
    </w:p>
    <w:p w14:paraId="0E9A1DD4" w14:textId="621EB508" w:rsidR="00E0070F" w:rsidRDefault="00E0070F" w:rsidP="00F657B1">
      <w:r>
        <w:t xml:space="preserve">Syn bør også diskuteres med </w:t>
      </w:r>
      <w:r w:rsidR="00EF3A29">
        <w:t>patienterne</w:t>
      </w:r>
      <w:r>
        <w:t xml:space="preserve"> og sikre</w:t>
      </w:r>
      <w:r w:rsidR="00EF3A29">
        <w:t>s</w:t>
      </w:r>
      <w:r>
        <w:t xml:space="preserve"> godt lys i hjemmet, når det er mørkt. Fjernelse af løse tæpper, ledninger eller andet, der kan faldes over. Evt</w:t>
      </w:r>
      <w:r w:rsidR="00ED0000">
        <w:t>.</w:t>
      </w:r>
      <w:r>
        <w:t xml:space="preserve"> en trådløs</w:t>
      </w:r>
      <w:r w:rsidR="006B060F">
        <w:t>/mobil</w:t>
      </w:r>
      <w:r>
        <w:t xml:space="preserve"> telefon til at </w:t>
      </w:r>
      <w:r w:rsidR="006B060F">
        <w:t>have på</w:t>
      </w:r>
      <w:r>
        <w:t xml:space="preserve"> sig</w:t>
      </w:r>
      <w:r w:rsidR="006B060F">
        <w:t>,</w:t>
      </w:r>
      <w:r>
        <w:t xml:space="preserve"> så man ikke løber efter en telefon, der ringer.  </w:t>
      </w:r>
    </w:p>
    <w:p w14:paraId="4976FDF9" w14:textId="6B995C78" w:rsidR="00E0070F" w:rsidRDefault="00E0070F" w:rsidP="00F657B1">
      <w:r>
        <w:t xml:space="preserve">Eventuelt en mobil telefon, til at tage med sig ved gang uden for hjemmet, så </w:t>
      </w:r>
      <w:r w:rsidR="004401C5">
        <w:t>personen</w:t>
      </w:r>
      <w:r>
        <w:t xml:space="preserve"> kan føle sig tryg, og rent faktisk går tur, og ikke bliver hjemme pga</w:t>
      </w:r>
      <w:r w:rsidR="00ED0000">
        <w:t>.</w:t>
      </w:r>
      <w:r>
        <w:t xml:space="preserve"> bekymringen for at falde. </w:t>
      </w:r>
    </w:p>
    <w:p w14:paraId="74FA0D86" w14:textId="49E085B5" w:rsidR="00E0070F" w:rsidRDefault="006C2053" w:rsidP="00F657B1">
      <w:r>
        <w:t xml:space="preserve">Adhærence </w:t>
      </w:r>
      <w:r w:rsidR="001A7ADC" w:rsidRPr="00EF3A29">
        <w:t>er</w:t>
      </w:r>
      <w:r w:rsidR="00E0070F" w:rsidRPr="00EF3A29">
        <w:t xml:space="preserve"> </w:t>
      </w:r>
      <w:r w:rsidR="00EF3A29">
        <w:t>generelt</w:t>
      </w:r>
      <w:r w:rsidR="00E0070F">
        <w:t xml:space="preserve"> </w:t>
      </w:r>
      <w:r w:rsidR="00EF3A29">
        <w:t>en udfordring</w:t>
      </w:r>
      <w:r w:rsidR="00E0070F">
        <w:t xml:space="preserve"> ved behandling af en tilstand</w:t>
      </w:r>
      <w:r w:rsidR="00EF3A29">
        <w:t xml:space="preserve"> eller risikofaktor</w:t>
      </w:r>
      <w:r w:rsidR="00E0070F">
        <w:t xml:space="preserve">, som ikke umiddelbart </w:t>
      </w:r>
      <w:r w:rsidR="0082687C">
        <w:t>giver symptomer</w:t>
      </w:r>
      <w:r w:rsidR="00E0070F">
        <w:t>.</w:t>
      </w:r>
    </w:p>
    <w:p w14:paraId="37E5C63D" w14:textId="10D9495C" w:rsidR="00E0070F" w:rsidRDefault="004401C5" w:rsidP="003534DD">
      <w:r>
        <w:t>Personen</w:t>
      </w:r>
      <w:r w:rsidR="00E0070F">
        <w:t>s forståelse af tilstanden, effekt og bivirkninger ved behandling, og fulde accept af behandling</w:t>
      </w:r>
      <w:r w:rsidR="003E1788">
        <w:t>en</w:t>
      </w:r>
      <w:r w:rsidR="00E0070F">
        <w:t xml:space="preserve"> er afgørende. Det er meget forskelligt, hvor meget </w:t>
      </w:r>
      <w:r w:rsidR="003E1788">
        <w:t>patienterne</w:t>
      </w:r>
      <w:r w:rsidR="00E0070F">
        <w:t xml:space="preserve"> ønsker og kan huske på forskellige tidspunkter, og der skal derfor altid være mulighed for at komme til ny konsultation for at diskutere t</w:t>
      </w:r>
      <w:r w:rsidR="00E5166E">
        <w:t>vivls</w:t>
      </w:r>
      <w:r w:rsidR="00F740D3">
        <w:t>s</w:t>
      </w:r>
      <w:r w:rsidR="00E5166E">
        <w:t xml:space="preserve">pørgsmål. For nogen kan </w:t>
      </w:r>
      <w:r w:rsidR="00F740D3">
        <w:t>DXA-</w:t>
      </w:r>
      <w:r w:rsidR="00E0070F">
        <w:t>s</w:t>
      </w:r>
      <w:r w:rsidR="003E1788">
        <w:t>k</w:t>
      </w:r>
      <w:r w:rsidR="00E0070F">
        <w:t>anning være</w:t>
      </w:r>
      <w:r w:rsidR="006B060F">
        <w:t xml:space="preserve"> en motiverende faktor, men er </w:t>
      </w:r>
      <w:r w:rsidR="00E0070F">
        <w:t xml:space="preserve">en dyr løsning for at motivere </w:t>
      </w:r>
      <w:r>
        <w:t>personen</w:t>
      </w:r>
      <w:r w:rsidR="00E0070F">
        <w:t xml:space="preserve">. </w:t>
      </w:r>
    </w:p>
    <w:p w14:paraId="04F2F60B" w14:textId="77777777" w:rsidR="00E0070F" w:rsidRDefault="00E0070F" w:rsidP="003534DD"/>
    <w:p w14:paraId="77D5BC57" w14:textId="654379C3" w:rsidR="00E0070F" w:rsidRPr="003534DD" w:rsidRDefault="00E0070F" w:rsidP="003534DD">
      <w:pPr>
        <w:rPr>
          <w:b/>
          <w:bCs/>
        </w:rPr>
      </w:pPr>
      <w:r w:rsidRPr="003534DD">
        <w:rPr>
          <w:b/>
          <w:bCs/>
        </w:rPr>
        <w:t>Behandlingssvigt</w:t>
      </w:r>
    </w:p>
    <w:p w14:paraId="5DA74639" w14:textId="231B886E" w:rsidR="00E0070F" w:rsidRDefault="00E0070F" w:rsidP="003534DD">
      <w:r w:rsidRPr="004B202C">
        <w:t>Et</w:t>
      </w:r>
      <w:r w:rsidR="003534DD">
        <w:t xml:space="preserve"> brud under behandling</w:t>
      </w:r>
      <w:r w:rsidRPr="004B202C">
        <w:t xml:space="preserve"> </w:t>
      </w:r>
      <w:r>
        <w:t>behøver ikke at være udtryk for behandlingssvigt, da udgangspunktet for behandlingen jo er at knoglerne er skøre. Det kan dog være anledning til at genoverveje om der kan gøres andet</w:t>
      </w:r>
      <w:r w:rsidR="003534DD">
        <w:t xml:space="preserve"> og </w:t>
      </w:r>
      <w:r w:rsidR="006C2053">
        <w:t>revurdere adhærence</w:t>
      </w:r>
      <w:r>
        <w:t xml:space="preserve">. </w:t>
      </w:r>
    </w:p>
    <w:p w14:paraId="5FCE9603" w14:textId="1C6C749F" w:rsidR="00E0070F" w:rsidRDefault="00E5166E" w:rsidP="003534DD">
      <w:r>
        <w:t xml:space="preserve">Ved gentagelse af </w:t>
      </w:r>
      <w:r w:rsidR="00013F82">
        <w:t>DXA-</w:t>
      </w:r>
      <w:r w:rsidR="00E0070F">
        <w:t>s</w:t>
      </w:r>
      <w:r w:rsidR="003534DD">
        <w:t>k</w:t>
      </w:r>
      <w:r w:rsidR="00E0070F">
        <w:t>anning skal der være opmærksomhed på</w:t>
      </w:r>
      <w:r w:rsidR="006C26AF">
        <w:t>,</w:t>
      </w:r>
      <w:r w:rsidR="00E0070F">
        <w:t xml:space="preserve"> at der er en naturlig variation på målinger, og den øges, hvis det er forskellige apparater der bliver anvendt. Hvis der er fald i </w:t>
      </w:r>
      <w:r w:rsidR="005A1459">
        <w:t xml:space="preserve">T-score </w:t>
      </w:r>
      <w:r w:rsidR="005A1459">
        <w:rPr>
          <w:rFonts w:cstheme="minorHAnsi"/>
        </w:rPr>
        <w:t>≥</w:t>
      </w:r>
      <w:r w:rsidR="005A1459">
        <w:t xml:space="preserve"> 0,3 SD</w:t>
      </w:r>
      <w:r w:rsidR="006C26AF">
        <w:t>,</w:t>
      </w:r>
      <w:r w:rsidR="00E0070F">
        <w:t xml:space="preserve"> må</w:t>
      </w:r>
      <w:r w:rsidR="003534DD">
        <w:t xml:space="preserve"> det betragtes som behandlingssvigt og</w:t>
      </w:r>
      <w:r w:rsidR="00E0070F">
        <w:t xml:space="preserve"> årsagerne</w:t>
      </w:r>
      <w:r w:rsidR="003534DD">
        <w:t xml:space="preserve"> skal</w:t>
      </w:r>
      <w:r w:rsidR="00E0070F">
        <w:t xml:space="preserve"> overvejes. </w:t>
      </w:r>
      <w:r w:rsidR="003D26CF">
        <w:t>Hvis der ikke kan gøres mere i almen praksis, må patienten henvises til specialist.</w:t>
      </w:r>
    </w:p>
    <w:p w14:paraId="678167DD" w14:textId="77777777" w:rsidR="00412296" w:rsidRDefault="00412296" w:rsidP="003D26CF"/>
    <w:p w14:paraId="7B06E064" w14:textId="54DC360D" w:rsidR="00E0070F" w:rsidRPr="003D26CF" w:rsidRDefault="00E0070F" w:rsidP="003D26CF">
      <w:pPr>
        <w:rPr>
          <w:b/>
          <w:bCs/>
        </w:rPr>
      </w:pPr>
      <w:r w:rsidRPr="003D26CF">
        <w:rPr>
          <w:b/>
          <w:bCs/>
        </w:rPr>
        <w:t xml:space="preserve">Hvem </w:t>
      </w:r>
      <w:r w:rsidR="00475718" w:rsidRPr="003D26CF">
        <w:rPr>
          <w:b/>
          <w:bCs/>
        </w:rPr>
        <w:t>varetager</w:t>
      </w:r>
      <w:r w:rsidRPr="003D26CF">
        <w:rPr>
          <w:b/>
          <w:bCs/>
        </w:rPr>
        <w:t xml:space="preserve"> </w:t>
      </w:r>
      <w:r w:rsidR="00C0115C" w:rsidRPr="003D26CF">
        <w:rPr>
          <w:b/>
          <w:bCs/>
        </w:rPr>
        <w:t>udredning og opfølgning</w:t>
      </w:r>
      <w:r w:rsidR="00DA742A" w:rsidRPr="003D26CF">
        <w:rPr>
          <w:b/>
          <w:bCs/>
        </w:rPr>
        <w:t>?</w:t>
      </w:r>
    </w:p>
    <w:p w14:paraId="51DB65F8" w14:textId="6E25177D" w:rsidR="00E0070F" w:rsidRDefault="00E0070F" w:rsidP="003D26CF">
      <w:r>
        <w:t>Indikationen</w:t>
      </w:r>
      <w:r w:rsidR="003D26CF">
        <w:t>, diagnose</w:t>
      </w:r>
      <w:r>
        <w:t xml:space="preserve"> og den indledende konsultation bør være med læge, og det vil også være rimeligt ved midtvejs og afsluttende kontrol. Hvis der er mellemliggende egentlige årskontroller </w:t>
      </w:r>
      <w:r w:rsidR="006668AA">
        <w:t>kan</w:t>
      </w:r>
      <w:r w:rsidR="003D26CF">
        <w:t xml:space="preserve"> de</w:t>
      </w:r>
      <w:r w:rsidR="006668AA">
        <w:t xml:space="preserve"> </w:t>
      </w:r>
      <w:r>
        <w:t xml:space="preserve">gennemføres ved sygeplejerske. </w:t>
      </w:r>
    </w:p>
    <w:p w14:paraId="40B9EF13" w14:textId="77777777" w:rsidR="003D26CF" w:rsidRDefault="003D26CF" w:rsidP="003D26CF">
      <w:pPr>
        <w:rPr>
          <w:b/>
          <w:bCs/>
          <w:i/>
          <w:iCs/>
        </w:rPr>
      </w:pPr>
    </w:p>
    <w:p w14:paraId="2A939466" w14:textId="77777777" w:rsidR="003D26CF" w:rsidRDefault="003D26CF" w:rsidP="003D26CF">
      <w:pPr>
        <w:rPr>
          <w:b/>
          <w:bCs/>
          <w:i/>
          <w:iCs/>
        </w:rPr>
      </w:pPr>
    </w:p>
    <w:p w14:paraId="6CBF7195" w14:textId="77777777" w:rsidR="003D26CF" w:rsidRDefault="003D26CF" w:rsidP="003D26CF">
      <w:pPr>
        <w:rPr>
          <w:b/>
          <w:bCs/>
          <w:i/>
          <w:iCs/>
        </w:rPr>
      </w:pPr>
    </w:p>
    <w:p w14:paraId="385B42B8" w14:textId="77777777" w:rsidR="003D26CF" w:rsidRDefault="003D26CF" w:rsidP="003D26CF">
      <w:pPr>
        <w:rPr>
          <w:b/>
          <w:bCs/>
          <w:i/>
          <w:iCs/>
        </w:rPr>
      </w:pPr>
    </w:p>
    <w:p w14:paraId="55DA7DC5" w14:textId="77777777" w:rsidR="003D26CF" w:rsidRDefault="003D26CF" w:rsidP="003D26CF">
      <w:pPr>
        <w:rPr>
          <w:b/>
          <w:bCs/>
          <w:i/>
          <w:iCs/>
        </w:rPr>
      </w:pPr>
    </w:p>
    <w:p w14:paraId="01AE2DB3" w14:textId="34D3D9AA" w:rsidR="00E0070F" w:rsidRPr="003D26CF" w:rsidRDefault="00E0070F" w:rsidP="003D26CF">
      <w:pPr>
        <w:rPr>
          <w:b/>
          <w:bCs/>
          <w:i/>
          <w:iCs/>
        </w:rPr>
      </w:pPr>
      <w:r w:rsidRPr="003D26CF">
        <w:rPr>
          <w:b/>
          <w:bCs/>
          <w:i/>
          <w:iCs/>
        </w:rPr>
        <w:t xml:space="preserve">Forslag til </w:t>
      </w:r>
      <w:r w:rsidR="005D738B">
        <w:rPr>
          <w:b/>
          <w:bCs/>
          <w:i/>
          <w:iCs/>
        </w:rPr>
        <w:t>o</w:t>
      </w:r>
      <w:r w:rsidRPr="003D26CF">
        <w:rPr>
          <w:b/>
          <w:bCs/>
          <w:i/>
          <w:iCs/>
        </w:rPr>
        <w:t>rganisering i praksis</w:t>
      </w:r>
      <w:r w:rsidR="00E5166E" w:rsidRPr="003D26CF">
        <w:rPr>
          <w:b/>
          <w:bCs/>
          <w:i/>
          <w:iCs/>
        </w:rPr>
        <w:t xml:space="preserve"> (ved behandling med </w:t>
      </w:r>
      <w:r w:rsidR="005D738B">
        <w:rPr>
          <w:b/>
          <w:bCs/>
          <w:i/>
          <w:iCs/>
        </w:rPr>
        <w:t>per</w:t>
      </w:r>
      <w:r w:rsidR="00E5166E" w:rsidRPr="003D26CF">
        <w:rPr>
          <w:b/>
          <w:bCs/>
          <w:i/>
          <w:iCs/>
        </w:rPr>
        <w:t>oral bisfo</w:t>
      </w:r>
      <w:r w:rsidR="003D26CF">
        <w:rPr>
          <w:b/>
          <w:bCs/>
          <w:i/>
          <w:iCs/>
        </w:rPr>
        <w:t>s</w:t>
      </w:r>
      <w:r w:rsidR="00E5166E" w:rsidRPr="003D26CF">
        <w:rPr>
          <w:b/>
          <w:bCs/>
          <w:i/>
          <w:iCs/>
        </w:rPr>
        <w:t>fonat)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1"/>
        <w:gridCol w:w="3205"/>
        <w:gridCol w:w="3212"/>
      </w:tblGrid>
      <w:tr w:rsidR="00E0070F" w14:paraId="3EBB1153" w14:textId="77777777" w:rsidTr="002A72ED">
        <w:tc>
          <w:tcPr>
            <w:tcW w:w="3211" w:type="dxa"/>
            <w:shd w:val="clear" w:color="auto" w:fill="auto"/>
          </w:tcPr>
          <w:p w14:paraId="121BE26E" w14:textId="77777777" w:rsidR="00E0070F" w:rsidRDefault="00E0070F" w:rsidP="00C12D1E">
            <w:pPr>
              <w:spacing w:line="240" w:lineRule="auto"/>
            </w:pPr>
            <w:r>
              <w:t xml:space="preserve">Tid </w:t>
            </w:r>
          </w:p>
        </w:tc>
        <w:tc>
          <w:tcPr>
            <w:tcW w:w="3205" w:type="dxa"/>
            <w:shd w:val="clear" w:color="auto" w:fill="auto"/>
          </w:tcPr>
          <w:p w14:paraId="52CA447E" w14:textId="77777777" w:rsidR="00E0070F" w:rsidRDefault="00E0070F" w:rsidP="00C12D1E">
            <w:pPr>
              <w:spacing w:line="240" w:lineRule="auto"/>
            </w:pPr>
            <w:r>
              <w:t>Ved.</w:t>
            </w:r>
          </w:p>
        </w:tc>
        <w:tc>
          <w:tcPr>
            <w:tcW w:w="3212" w:type="dxa"/>
            <w:shd w:val="clear" w:color="auto" w:fill="auto"/>
          </w:tcPr>
          <w:p w14:paraId="34B27EE6" w14:textId="77777777" w:rsidR="00E0070F" w:rsidRDefault="00E0070F" w:rsidP="00C12D1E">
            <w:pPr>
              <w:spacing w:line="240" w:lineRule="auto"/>
            </w:pPr>
            <w:r>
              <w:t>Indhold</w:t>
            </w:r>
          </w:p>
        </w:tc>
      </w:tr>
      <w:tr w:rsidR="00E0070F" w14:paraId="1BB7E645" w14:textId="77777777" w:rsidTr="002A72ED">
        <w:tc>
          <w:tcPr>
            <w:tcW w:w="3211" w:type="dxa"/>
            <w:shd w:val="clear" w:color="auto" w:fill="auto"/>
          </w:tcPr>
          <w:p w14:paraId="299479D7" w14:textId="77777777" w:rsidR="00E0070F" w:rsidRDefault="00E0070F" w:rsidP="00C12D1E">
            <w:pPr>
              <w:spacing w:line="240" w:lineRule="auto"/>
            </w:pPr>
            <w:r>
              <w:t>0</w:t>
            </w:r>
          </w:p>
        </w:tc>
        <w:tc>
          <w:tcPr>
            <w:tcW w:w="3205" w:type="dxa"/>
            <w:shd w:val="clear" w:color="auto" w:fill="auto"/>
          </w:tcPr>
          <w:p w14:paraId="4012FB08" w14:textId="351CFD75" w:rsidR="00E0070F" w:rsidRDefault="00B80ACF" w:rsidP="00C12D1E">
            <w:pPr>
              <w:spacing w:line="240" w:lineRule="auto"/>
            </w:pPr>
            <w:r>
              <w:t>L</w:t>
            </w:r>
            <w:r w:rsidR="00E0070F">
              <w:t>æge</w:t>
            </w:r>
          </w:p>
        </w:tc>
        <w:tc>
          <w:tcPr>
            <w:tcW w:w="3212" w:type="dxa"/>
            <w:shd w:val="clear" w:color="auto" w:fill="auto"/>
          </w:tcPr>
          <w:p w14:paraId="491D3D08" w14:textId="2B15EC61" w:rsidR="00E0070F" w:rsidRDefault="00E0070F" w:rsidP="00C12D1E">
            <w:pPr>
              <w:spacing w:line="240" w:lineRule="auto"/>
            </w:pPr>
            <w:r>
              <w:t>Indikation og start af behandling</w:t>
            </w:r>
            <w:r w:rsidR="006B060F">
              <w:t>, efter forudgående udredning. Generel orientering</w:t>
            </w:r>
            <w:r w:rsidR="00901CC9">
              <w:t>. F</w:t>
            </w:r>
            <w:r w:rsidR="006B060F">
              <w:t>orståelse af effekt og risici. Knoglevenlig livsstil. Kalk</w:t>
            </w:r>
            <w:r w:rsidR="003D26CF">
              <w:t xml:space="preserve"> og</w:t>
            </w:r>
            <w:r w:rsidR="006B060F">
              <w:t xml:space="preserve"> D</w:t>
            </w:r>
            <w:r w:rsidR="003D26CF">
              <w:t>-</w:t>
            </w:r>
            <w:r w:rsidR="006B060F">
              <w:t>vitamin</w:t>
            </w:r>
            <w:r w:rsidR="003D26CF">
              <w:t xml:space="preserve"> tilskud</w:t>
            </w:r>
            <w:r w:rsidR="006B060F">
              <w:t xml:space="preserve">. </w:t>
            </w:r>
          </w:p>
          <w:p w14:paraId="33353826" w14:textId="0678857C" w:rsidR="00E5166E" w:rsidRDefault="003D26CF" w:rsidP="00C12D1E">
            <w:pPr>
              <w:spacing w:line="240" w:lineRule="auto"/>
            </w:pPr>
            <w:r>
              <w:t>Evt.</w:t>
            </w:r>
            <w:r w:rsidR="00E5166E">
              <w:t xml:space="preserve"> knoglemarkør</w:t>
            </w:r>
            <w:r>
              <w:t>.</w:t>
            </w:r>
          </w:p>
        </w:tc>
      </w:tr>
      <w:tr w:rsidR="00E0070F" w14:paraId="6529FD52" w14:textId="77777777" w:rsidTr="002A72ED">
        <w:tc>
          <w:tcPr>
            <w:tcW w:w="3211" w:type="dxa"/>
            <w:shd w:val="clear" w:color="auto" w:fill="auto"/>
          </w:tcPr>
          <w:p w14:paraId="79099E15" w14:textId="3E3119CD" w:rsidR="00E0070F" w:rsidRDefault="00E0070F" w:rsidP="00C12D1E">
            <w:pPr>
              <w:spacing w:line="240" w:lineRule="auto"/>
            </w:pPr>
            <w:r>
              <w:t>3 m</w:t>
            </w:r>
            <w:r w:rsidR="002A72ED">
              <w:t>åneder</w:t>
            </w:r>
          </w:p>
        </w:tc>
        <w:tc>
          <w:tcPr>
            <w:tcW w:w="3205" w:type="dxa"/>
            <w:shd w:val="clear" w:color="auto" w:fill="auto"/>
          </w:tcPr>
          <w:p w14:paraId="0102949A" w14:textId="48343468" w:rsidR="00E0070F" w:rsidRDefault="00E0070F" w:rsidP="00C12D1E">
            <w:pPr>
              <w:spacing w:line="240" w:lineRule="auto"/>
            </w:pPr>
            <w:r>
              <w:t xml:space="preserve">Sygeplejerske </w:t>
            </w:r>
            <w:r w:rsidR="003D26CF">
              <w:t>eller</w:t>
            </w:r>
            <w:r>
              <w:t xml:space="preserve"> læge</w:t>
            </w:r>
          </w:p>
        </w:tc>
        <w:tc>
          <w:tcPr>
            <w:tcW w:w="3212" w:type="dxa"/>
            <w:shd w:val="clear" w:color="auto" w:fill="auto"/>
          </w:tcPr>
          <w:p w14:paraId="0E9420DE" w14:textId="46B35AB5" w:rsidR="00E0070F" w:rsidRDefault="00E0070F" w:rsidP="00C12D1E">
            <w:pPr>
              <w:spacing w:line="240" w:lineRule="auto"/>
            </w:pPr>
            <w:r>
              <w:t>Komplians</w:t>
            </w:r>
            <w:r w:rsidR="003D26CF">
              <w:t>, adhærence</w:t>
            </w:r>
            <w:r>
              <w:t>,</w:t>
            </w:r>
            <w:r w:rsidR="003D26CF">
              <w:t xml:space="preserve"> bivirkninger og</w:t>
            </w:r>
            <w:r>
              <w:t xml:space="preserve"> </w:t>
            </w:r>
            <w:r w:rsidR="003D26CF">
              <w:t>tvivlsspørgsmål.</w:t>
            </w:r>
            <w:r>
              <w:t xml:space="preserve"> </w:t>
            </w:r>
            <w:r w:rsidR="003D26CF">
              <w:t>K</w:t>
            </w:r>
            <w:r>
              <w:t xml:space="preserve">alk </w:t>
            </w:r>
            <w:r w:rsidR="003D26CF">
              <w:t>og</w:t>
            </w:r>
            <w:r>
              <w:t xml:space="preserve"> D</w:t>
            </w:r>
            <w:r w:rsidR="003D26CF">
              <w:t>-</w:t>
            </w:r>
            <w:r>
              <w:t>vit</w:t>
            </w:r>
            <w:r w:rsidR="003D26CF">
              <w:t>a</w:t>
            </w:r>
            <w:r>
              <w:t>min</w:t>
            </w:r>
            <w:r w:rsidR="003D26CF">
              <w:t xml:space="preserve"> tilskud</w:t>
            </w:r>
            <w:r>
              <w:t>. Knoglevenlig liv</w:t>
            </w:r>
            <w:r w:rsidR="003D26CF">
              <w:t>s</w:t>
            </w:r>
            <w:r>
              <w:t>stil</w:t>
            </w:r>
            <w:r w:rsidR="003D26CF">
              <w:t>.</w:t>
            </w:r>
          </w:p>
          <w:p w14:paraId="5B0B8CEB" w14:textId="53AF91EF" w:rsidR="006C26AF" w:rsidRDefault="003D26CF" w:rsidP="00C12D1E">
            <w:pPr>
              <w:spacing w:line="240" w:lineRule="auto"/>
            </w:pPr>
            <w:r>
              <w:t>Evt.</w:t>
            </w:r>
            <w:r w:rsidR="006C26AF">
              <w:t xml:space="preserve"> knoglemarkør</w:t>
            </w:r>
            <w:r>
              <w:t>.</w:t>
            </w:r>
          </w:p>
        </w:tc>
      </w:tr>
      <w:tr w:rsidR="00E0070F" w14:paraId="7AB5EB02" w14:textId="77777777" w:rsidTr="002A72ED">
        <w:tc>
          <w:tcPr>
            <w:tcW w:w="3211" w:type="dxa"/>
            <w:shd w:val="clear" w:color="auto" w:fill="auto"/>
          </w:tcPr>
          <w:p w14:paraId="06407091" w14:textId="1B8EF3A5" w:rsidR="00E0070F" w:rsidRDefault="00E0070F" w:rsidP="00C12D1E">
            <w:pPr>
              <w:spacing w:line="240" w:lineRule="auto"/>
            </w:pPr>
            <w:r>
              <w:t>Midtvejskontrol</w:t>
            </w:r>
            <w:r w:rsidR="002A72ED">
              <w:t xml:space="preserve"> efter 2-3 år</w:t>
            </w:r>
          </w:p>
        </w:tc>
        <w:tc>
          <w:tcPr>
            <w:tcW w:w="3205" w:type="dxa"/>
            <w:shd w:val="clear" w:color="auto" w:fill="auto"/>
          </w:tcPr>
          <w:p w14:paraId="712B1EAC" w14:textId="17C4190B" w:rsidR="00E0070F" w:rsidRDefault="002A72ED" w:rsidP="00C12D1E">
            <w:pPr>
              <w:spacing w:line="240" w:lineRule="auto"/>
            </w:pPr>
            <w:r>
              <w:t>Sygeplejerske eller læge</w:t>
            </w:r>
          </w:p>
        </w:tc>
        <w:tc>
          <w:tcPr>
            <w:tcW w:w="3212" w:type="dxa"/>
            <w:shd w:val="clear" w:color="auto" w:fill="auto"/>
          </w:tcPr>
          <w:p w14:paraId="276DC454" w14:textId="77777777" w:rsidR="002A72ED" w:rsidRDefault="002A72ED" w:rsidP="002A72ED">
            <w:pPr>
              <w:spacing w:line="240" w:lineRule="auto"/>
            </w:pPr>
            <w:r>
              <w:t>Komplians, adhærence, bivirkninger og tvivlsspørgsmål. Kalk og D-vitamin tilskud. Knoglevenlig livsstil.</w:t>
            </w:r>
          </w:p>
          <w:p w14:paraId="386ECE30" w14:textId="77777777" w:rsidR="002A72ED" w:rsidRDefault="002A72ED" w:rsidP="00C12D1E">
            <w:pPr>
              <w:spacing w:line="240" w:lineRule="auto"/>
            </w:pPr>
            <w:r>
              <w:t>Evt. kontrol nyrefunktion.</w:t>
            </w:r>
          </w:p>
          <w:p w14:paraId="00D15BA8" w14:textId="6D206596" w:rsidR="00E0070F" w:rsidRDefault="006C26AF" w:rsidP="00C12D1E">
            <w:pPr>
              <w:spacing w:line="240" w:lineRule="auto"/>
            </w:pPr>
            <w:r>
              <w:t xml:space="preserve">Ved svær eller hurtigt udviklet osteoporose, kan en ny </w:t>
            </w:r>
            <w:r w:rsidR="002A72ED">
              <w:t>DXA-sk</w:t>
            </w:r>
            <w:r>
              <w:t xml:space="preserve">anning </w:t>
            </w:r>
            <w:r w:rsidR="002A72ED">
              <w:t>overvejes</w:t>
            </w:r>
            <w:r>
              <w:t xml:space="preserve">, </w:t>
            </w:r>
            <w:r w:rsidR="002A72ED">
              <w:t xml:space="preserve">men </w:t>
            </w:r>
            <w:r>
              <w:t xml:space="preserve">ellers vil det som regel ikke være nødvendigt. </w:t>
            </w:r>
          </w:p>
        </w:tc>
      </w:tr>
      <w:tr w:rsidR="00E0070F" w14:paraId="3D2990C9" w14:textId="77777777" w:rsidTr="002A72ED">
        <w:tc>
          <w:tcPr>
            <w:tcW w:w="3211" w:type="dxa"/>
            <w:shd w:val="clear" w:color="auto" w:fill="auto"/>
          </w:tcPr>
          <w:p w14:paraId="249F9180" w14:textId="5F331EA7" w:rsidR="00E0070F" w:rsidRDefault="00E0070F" w:rsidP="00C12D1E">
            <w:pPr>
              <w:spacing w:line="240" w:lineRule="auto"/>
            </w:pPr>
            <w:r>
              <w:t xml:space="preserve">5 år </w:t>
            </w:r>
          </w:p>
        </w:tc>
        <w:tc>
          <w:tcPr>
            <w:tcW w:w="3205" w:type="dxa"/>
            <w:shd w:val="clear" w:color="auto" w:fill="auto"/>
          </w:tcPr>
          <w:p w14:paraId="189DA947" w14:textId="7CEE5B57" w:rsidR="00E0070F" w:rsidRDefault="002A72ED" w:rsidP="00C12D1E">
            <w:pPr>
              <w:spacing w:line="240" w:lineRule="auto"/>
            </w:pPr>
            <w:r>
              <w:t>Sygeplejerske eller læge</w:t>
            </w:r>
          </w:p>
        </w:tc>
        <w:tc>
          <w:tcPr>
            <w:tcW w:w="3212" w:type="dxa"/>
            <w:shd w:val="clear" w:color="auto" w:fill="auto"/>
          </w:tcPr>
          <w:p w14:paraId="7F73BAC5" w14:textId="7B171636" w:rsidR="00E0070F" w:rsidRDefault="00E0070F" w:rsidP="00C12D1E">
            <w:pPr>
              <w:spacing w:line="240" w:lineRule="auto"/>
            </w:pPr>
            <w:r>
              <w:t>Ophør med behandling? Fortsatte kontroller</w:t>
            </w:r>
            <w:r w:rsidR="002A72ED">
              <w:t>?</w:t>
            </w:r>
            <w:r>
              <w:t xml:space="preserve"> Kalk og D</w:t>
            </w:r>
            <w:r w:rsidR="002A72ED">
              <w:t>-</w:t>
            </w:r>
            <w:r>
              <w:t>vitamin</w:t>
            </w:r>
            <w:r w:rsidR="002A72ED">
              <w:t xml:space="preserve"> tilskud.</w:t>
            </w:r>
            <w:r>
              <w:t xml:space="preserve"> </w:t>
            </w:r>
            <w:r w:rsidR="002A72ED">
              <w:t>K</w:t>
            </w:r>
            <w:r>
              <w:t xml:space="preserve">noglevenlig livsstil. </w:t>
            </w:r>
          </w:p>
          <w:p w14:paraId="7373D119" w14:textId="0CCC0615" w:rsidR="006668AA" w:rsidRDefault="002A72ED" w:rsidP="00C12D1E">
            <w:pPr>
              <w:spacing w:line="240" w:lineRule="auto"/>
            </w:pPr>
            <w:r>
              <w:t>Henvisning til DXA-skanning.</w:t>
            </w:r>
          </w:p>
        </w:tc>
      </w:tr>
      <w:tr w:rsidR="00E0070F" w14:paraId="4C070817" w14:textId="77777777" w:rsidTr="002A72ED">
        <w:trPr>
          <w:trHeight w:val="53"/>
        </w:trPr>
        <w:tc>
          <w:tcPr>
            <w:tcW w:w="3211" w:type="dxa"/>
            <w:shd w:val="clear" w:color="auto" w:fill="auto"/>
          </w:tcPr>
          <w:p w14:paraId="7EA44DA7" w14:textId="0284DAA1" w:rsidR="00E0070F" w:rsidRDefault="00D5004C" w:rsidP="00C521B6">
            <w:pPr>
              <w:spacing w:line="240" w:lineRule="auto"/>
            </w:pPr>
            <w:r>
              <w:t>&gt;</w:t>
            </w:r>
            <w:r w:rsidR="007B25A7">
              <w:t xml:space="preserve"> 5 år</w:t>
            </w:r>
          </w:p>
        </w:tc>
        <w:tc>
          <w:tcPr>
            <w:tcW w:w="3205" w:type="dxa"/>
            <w:shd w:val="clear" w:color="auto" w:fill="auto"/>
          </w:tcPr>
          <w:p w14:paraId="0043E952" w14:textId="35B351C4" w:rsidR="00E0070F" w:rsidRDefault="00D5004C" w:rsidP="00C12D1E">
            <w:pPr>
              <w:spacing w:line="240" w:lineRule="auto"/>
            </w:pPr>
            <w:r>
              <w:t>Sygeplejerske eller læge</w:t>
            </w:r>
          </w:p>
        </w:tc>
        <w:tc>
          <w:tcPr>
            <w:tcW w:w="3212" w:type="dxa"/>
            <w:shd w:val="clear" w:color="auto" w:fill="auto"/>
          </w:tcPr>
          <w:p w14:paraId="58BC549E" w14:textId="035A72BA" w:rsidR="00E0070F" w:rsidRDefault="00D5004C" w:rsidP="00C12D1E">
            <w:pPr>
              <w:spacing w:line="240" w:lineRule="auto"/>
            </w:pPr>
            <w:r>
              <w:t>Afhænger af om der er behov for fortsat behandling eller om der er tale om afsluttet behandling.</w:t>
            </w:r>
          </w:p>
        </w:tc>
      </w:tr>
    </w:tbl>
    <w:p w14:paraId="44CE3A44" w14:textId="77777777" w:rsidR="00E0070F" w:rsidRDefault="00E0070F" w:rsidP="00D5004C"/>
    <w:p w14:paraId="67D9F346" w14:textId="77777777" w:rsidR="00E0070F" w:rsidRDefault="00E0070F" w:rsidP="00D5004C"/>
    <w:p w14:paraId="5B82DCCD" w14:textId="77777777" w:rsidR="00D5004C" w:rsidRDefault="00D5004C" w:rsidP="00D5004C">
      <w:pPr>
        <w:rPr>
          <w:b/>
        </w:rPr>
      </w:pPr>
    </w:p>
    <w:p w14:paraId="0EC8D1F3" w14:textId="77777777" w:rsidR="00D5004C" w:rsidRDefault="00D5004C" w:rsidP="00D5004C">
      <w:pPr>
        <w:rPr>
          <w:b/>
        </w:rPr>
      </w:pPr>
    </w:p>
    <w:p w14:paraId="13CF79B6" w14:textId="77777777" w:rsidR="00D5004C" w:rsidRDefault="00D5004C" w:rsidP="00D5004C">
      <w:pPr>
        <w:rPr>
          <w:b/>
        </w:rPr>
      </w:pPr>
    </w:p>
    <w:p w14:paraId="2F56B101" w14:textId="38034558" w:rsidR="00E0070F" w:rsidRPr="00D5004C" w:rsidRDefault="00476B2B" w:rsidP="00D5004C">
      <w:pPr>
        <w:rPr>
          <w:b/>
          <w:i/>
          <w:iCs/>
        </w:rPr>
      </w:pPr>
      <w:r w:rsidRPr="00D5004C">
        <w:rPr>
          <w:b/>
          <w:i/>
          <w:iCs/>
        </w:rPr>
        <w:t xml:space="preserve">Forslag til </w:t>
      </w:r>
      <w:r w:rsidR="005D738B">
        <w:rPr>
          <w:b/>
          <w:i/>
          <w:iCs/>
        </w:rPr>
        <w:t>o</w:t>
      </w:r>
      <w:r w:rsidRPr="00D5004C">
        <w:rPr>
          <w:b/>
          <w:i/>
          <w:iCs/>
        </w:rPr>
        <w:t>rganisering i praksis (ved behandling med denosumab)</w:t>
      </w:r>
    </w:p>
    <w:tbl>
      <w:tblPr>
        <w:tblStyle w:val="Tabel-Gitter"/>
        <w:tblW w:w="0" w:type="auto"/>
        <w:tblLook w:val="04A0" w:firstRow="1" w:lastRow="0" w:firstColumn="1" w:lastColumn="0" w:noHBand="0" w:noVBand="1"/>
      </w:tblPr>
      <w:tblGrid>
        <w:gridCol w:w="3194"/>
        <w:gridCol w:w="3211"/>
        <w:gridCol w:w="3223"/>
      </w:tblGrid>
      <w:tr w:rsidR="00476B2B" w14:paraId="6C1BD2B9" w14:textId="77777777" w:rsidTr="00473B14">
        <w:tc>
          <w:tcPr>
            <w:tcW w:w="3194" w:type="dxa"/>
          </w:tcPr>
          <w:p w14:paraId="283132B9" w14:textId="2136A555" w:rsidR="00476B2B" w:rsidRDefault="00476B2B" w:rsidP="00E0070F">
            <w:r>
              <w:t>Tid</w:t>
            </w:r>
          </w:p>
        </w:tc>
        <w:tc>
          <w:tcPr>
            <w:tcW w:w="3211" w:type="dxa"/>
          </w:tcPr>
          <w:p w14:paraId="0273A4C6" w14:textId="413AAB86" w:rsidR="00476B2B" w:rsidRDefault="00476B2B" w:rsidP="00E0070F">
            <w:r>
              <w:t xml:space="preserve">Ved </w:t>
            </w:r>
          </w:p>
        </w:tc>
        <w:tc>
          <w:tcPr>
            <w:tcW w:w="3223" w:type="dxa"/>
          </w:tcPr>
          <w:p w14:paraId="2984F0EF" w14:textId="74C3441B" w:rsidR="00476B2B" w:rsidRDefault="00476B2B" w:rsidP="00E0070F">
            <w:r>
              <w:t>Indhold</w:t>
            </w:r>
          </w:p>
        </w:tc>
      </w:tr>
      <w:tr w:rsidR="00476B2B" w14:paraId="567DBB84" w14:textId="77777777" w:rsidTr="00473B14">
        <w:tc>
          <w:tcPr>
            <w:tcW w:w="3194" w:type="dxa"/>
          </w:tcPr>
          <w:p w14:paraId="026FE225" w14:textId="0218C8B6" w:rsidR="00476B2B" w:rsidRDefault="00476B2B" w:rsidP="00E0070F">
            <w:r>
              <w:t>0</w:t>
            </w:r>
          </w:p>
        </w:tc>
        <w:tc>
          <w:tcPr>
            <w:tcW w:w="3211" w:type="dxa"/>
          </w:tcPr>
          <w:p w14:paraId="19435E51" w14:textId="0D9CF9D9" w:rsidR="00476B2B" w:rsidRDefault="00476B2B" w:rsidP="00E0070F">
            <w:r>
              <w:t>Læge</w:t>
            </w:r>
          </w:p>
        </w:tc>
        <w:tc>
          <w:tcPr>
            <w:tcW w:w="3223" w:type="dxa"/>
          </w:tcPr>
          <w:p w14:paraId="37758958" w14:textId="77777777" w:rsidR="00476B2B" w:rsidRDefault="005D738B" w:rsidP="00476B2B">
            <w:r>
              <w:t>Der vil typisk være forsøgt peroral bisfosfonat</w:t>
            </w:r>
            <w:r w:rsidR="00901CC9">
              <w:t xml:space="preserve"> og behov for behandlingsskifte.</w:t>
            </w:r>
          </w:p>
          <w:p w14:paraId="183BE113" w14:textId="75B75970" w:rsidR="00901CC9" w:rsidRDefault="00473B14" w:rsidP="00476B2B">
            <w:r>
              <w:t>Evt. kontrol nyrefunktion og sikre der ikke er hypocalciæmi.</w:t>
            </w:r>
          </w:p>
          <w:p w14:paraId="4885F7BC" w14:textId="72FD2D14" w:rsidR="00901CC9" w:rsidRDefault="00901CC9" w:rsidP="00476B2B">
            <w:r>
              <w:t xml:space="preserve">Sikre </w:t>
            </w:r>
            <w:r w:rsidR="00473B14">
              <w:t>at</w:t>
            </w:r>
            <w:r>
              <w:t xml:space="preserve"> patienten </w:t>
            </w:r>
            <w:r w:rsidR="00473B14">
              <w:t>forstår vigtigheden af adhærence til behandlingen.</w:t>
            </w:r>
          </w:p>
        </w:tc>
      </w:tr>
      <w:tr w:rsidR="00476B2B" w14:paraId="6274F898" w14:textId="77777777" w:rsidTr="00473B14">
        <w:tc>
          <w:tcPr>
            <w:tcW w:w="3194" w:type="dxa"/>
          </w:tcPr>
          <w:p w14:paraId="308F9716" w14:textId="4B2802B0" w:rsidR="00476B2B" w:rsidRDefault="00476B2B" w:rsidP="00E0070F">
            <w:r>
              <w:t>Kort efter</w:t>
            </w:r>
          </w:p>
        </w:tc>
        <w:tc>
          <w:tcPr>
            <w:tcW w:w="3211" w:type="dxa"/>
          </w:tcPr>
          <w:p w14:paraId="0FA4028F" w14:textId="5ADA93C1" w:rsidR="00476B2B" w:rsidRDefault="00473B14" w:rsidP="00E0070F">
            <w:r>
              <w:t>Sygeplejerske eller læge</w:t>
            </w:r>
          </w:p>
        </w:tc>
        <w:tc>
          <w:tcPr>
            <w:tcW w:w="3223" w:type="dxa"/>
          </w:tcPr>
          <w:p w14:paraId="2202DA14" w14:textId="1D6261E4" w:rsidR="00476B2B" w:rsidRDefault="00476B2B" w:rsidP="00E0070F">
            <w:r>
              <w:t>Inj</w:t>
            </w:r>
            <w:r w:rsidR="00473B14">
              <w:t>.</w:t>
            </w:r>
            <w:r>
              <w:t xml:space="preserve"> </w:t>
            </w:r>
            <w:r w:rsidR="00473B14">
              <w:t>denosumab.</w:t>
            </w:r>
            <w:r>
              <w:t xml:space="preserve"> </w:t>
            </w:r>
          </w:p>
        </w:tc>
      </w:tr>
      <w:tr w:rsidR="00476B2B" w14:paraId="2D0A70AD" w14:textId="77777777" w:rsidTr="00473B14">
        <w:tc>
          <w:tcPr>
            <w:tcW w:w="3194" w:type="dxa"/>
          </w:tcPr>
          <w:p w14:paraId="3C71DC6D" w14:textId="560A8679" w:rsidR="00476B2B" w:rsidRDefault="009F004E" w:rsidP="00E0070F">
            <w:r>
              <w:t xml:space="preserve">Hvert </w:t>
            </w:r>
            <w:r w:rsidR="00476B2B">
              <w:t>½ år</w:t>
            </w:r>
            <w:r>
              <w:t xml:space="preserve"> livslangt</w:t>
            </w:r>
          </w:p>
        </w:tc>
        <w:tc>
          <w:tcPr>
            <w:tcW w:w="3211" w:type="dxa"/>
          </w:tcPr>
          <w:p w14:paraId="77220914" w14:textId="10752A9D" w:rsidR="00476B2B" w:rsidRDefault="00473B14" w:rsidP="00E0070F">
            <w:r>
              <w:t>Sygeplejerske eller læge</w:t>
            </w:r>
          </w:p>
        </w:tc>
        <w:tc>
          <w:tcPr>
            <w:tcW w:w="3223" w:type="dxa"/>
          </w:tcPr>
          <w:p w14:paraId="6B10E752" w14:textId="61276F45" w:rsidR="00473B14" w:rsidRDefault="00476B2B" w:rsidP="00E0070F">
            <w:r>
              <w:t>Inj</w:t>
            </w:r>
            <w:r w:rsidR="00473B14">
              <w:t>.</w:t>
            </w:r>
            <w:r>
              <w:t xml:space="preserve"> </w:t>
            </w:r>
            <w:r w:rsidR="00473B14">
              <w:t>denosumab.</w:t>
            </w:r>
          </w:p>
          <w:p w14:paraId="226A9162" w14:textId="77777777" w:rsidR="00476B2B" w:rsidRDefault="00473B14" w:rsidP="00E0070F">
            <w:r>
              <w:t>B</w:t>
            </w:r>
            <w:r w:rsidR="00476B2B">
              <w:t>ivirkninger, usikkerhed, knoglevenlig livsstil</w:t>
            </w:r>
            <w:r>
              <w:t>, og</w:t>
            </w:r>
            <w:r w:rsidR="00476B2B">
              <w:t xml:space="preserve"> kalk og D</w:t>
            </w:r>
            <w:r>
              <w:t>-</w:t>
            </w:r>
            <w:r w:rsidR="00476B2B">
              <w:t>vitamin</w:t>
            </w:r>
            <w:r>
              <w:t xml:space="preserve"> tilskud.</w:t>
            </w:r>
          </w:p>
          <w:p w14:paraId="6FC3290B" w14:textId="09E4A461" w:rsidR="00473B14" w:rsidRDefault="00473B14" w:rsidP="00E0070F">
            <w:r>
              <w:t>Evt. kontrol nyrefunktion og sikre der ikke er hypocalciæmi.</w:t>
            </w:r>
          </w:p>
        </w:tc>
      </w:tr>
    </w:tbl>
    <w:p w14:paraId="2BD12E69" w14:textId="77777777" w:rsidR="00E0070F" w:rsidRDefault="00E0070F" w:rsidP="009F004E"/>
    <w:p w14:paraId="7DF5C3E1" w14:textId="32EE94DA" w:rsidR="00476B2B" w:rsidRDefault="009F004E" w:rsidP="009F004E">
      <w:r>
        <w:t xml:space="preserve">Ved ønsker om ophør med behandling skal der gives bisfosfonat. Dette kan eksempelvis være ét års alendronat behandling eller én i.v. zoledronsyre. </w:t>
      </w:r>
    </w:p>
    <w:p w14:paraId="05D13721" w14:textId="463CAEDA" w:rsidR="009F004E" w:rsidRDefault="009F004E">
      <w:r>
        <w:br w:type="page"/>
      </w:r>
    </w:p>
    <w:p w14:paraId="69C0A563" w14:textId="468A76D0" w:rsidR="002975A3" w:rsidRPr="009F004E" w:rsidRDefault="009F004E" w:rsidP="009F004E">
      <w:pPr>
        <w:pStyle w:val="Overskrift1"/>
      </w:pPr>
      <w:bookmarkStart w:id="1" w:name="_Toc102153738"/>
      <w:r w:rsidRPr="009F004E">
        <w:lastRenderedPageBreak/>
        <w:t>15. Standard f</w:t>
      </w:r>
      <w:r w:rsidR="002975A3" w:rsidRPr="009F004E">
        <w:t>raser</w:t>
      </w:r>
      <w:bookmarkEnd w:id="1"/>
    </w:p>
    <w:p w14:paraId="6E550459" w14:textId="77777777" w:rsidR="002975A3" w:rsidRPr="009F004E" w:rsidRDefault="002975A3" w:rsidP="009F004E">
      <w:pPr>
        <w:rPr>
          <w:b/>
          <w:bCs/>
        </w:rPr>
      </w:pPr>
      <w:r w:rsidRPr="009F004E">
        <w:rPr>
          <w:b/>
          <w:bCs/>
        </w:rPr>
        <w:t>Osteoporose læge ved diagnose frase</w:t>
      </w:r>
    </w:p>
    <w:p w14:paraId="4E94C656" w14:textId="77777777" w:rsidR="002975A3" w:rsidRDefault="002975A3" w:rsidP="009F004E">
      <w:r>
        <w:t>S: Årsag til undersøgelse Risikofaktorer, forventninger</w:t>
      </w:r>
    </w:p>
    <w:p w14:paraId="3C89C2C2" w14:textId="77777777" w:rsidR="002975A3" w:rsidRDefault="002975A3" w:rsidP="009F004E">
      <w:r>
        <w:t>O: BMI   Højde og vægt</w:t>
      </w:r>
    </w:p>
    <w:p w14:paraId="0C016D70" w14:textId="77777777" w:rsidR="002975A3" w:rsidRDefault="002975A3" w:rsidP="009F004E">
      <w:r>
        <w:t xml:space="preserve">Dxa </w:t>
      </w:r>
    </w:p>
    <w:p w14:paraId="2DD016D0" w14:textId="77777777" w:rsidR="002975A3" w:rsidRDefault="002975A3" w:rsidP="009F004E">
      <w:r>
        <w:t>Nyrefunktion , calcium og d vitamin) og knoglemarkører</w:t>
      </w:r>
    </w:p>
    <w:p w14:paraId="2307FB16" w14:textId="77777777" w:rsidR="002975A3" w:rsidRDefault="002975A3" w:rsidP="009F004E"/>
    <w:p w14:paraId="04384673" w14:textId="77777777" w:rsidR="002975A3" w:rsidRPr="009E14B1" w:rsidRDefault="002975A3" w:rsidP="009F004E">
      <w:pPr>
        <w:rPr>
          <w:lang w:val="nb-NO"/>
        </w:rPr>
      </w:pPr>
      <w:r w:rsidRPr="009E14B1">
        <w:rPr>
          <w:lang w:val="nb-NO"/>
        </w:rPr>
        <w:t xml:space="preserve">Diagnose: </w:t>
      </w:r>
    </w:p>
    <w:p w14:paraId="7DF359E1" w14:textId="77777777" w:rsidR="002975A3" w:rsidRPr="002975A3" w:rsidRDefault="002975A3" w:rsidP="009F004E">
      <w:pPr>
        <w:rPr>
          <w:lang w:val="nb-NO"/>
        </w:rPr>
      </w:pPr>
      <w:r w:rsidRPr="002975A3">
        <w:rPr>
          <w:lang w:val="nb-NO"/>
        </w:rPr>
        <w:t>Plan</w:t>
      </w:r>
    </w:p>
    <w:p w14:paraId="7BCBFE1A" w14:textId="77777777" w:rsidR="002975A3" w:rsidRPr="002975A3" w:rsidRDefault="002975A3" w:rsidP="009F004E">
      <w:pPr>
        <w:rPr>
          <w:lang w:val="nb-NO"/>
        </w:rPr>
      </w:pPr>
      <w:r w:rsidRPr="002975A3">
        <w:rPr>
          <w:lang w:val="nb-NO"/>
        </w:rPr>
        <w:t xml:space="preserve">Behandling: </w:t>
      </w:r>
    </w:p>
    <w:p w14:paraId="5BE024E7" w14:textId="77777777" w:rsidR="002975A3" w:rsidRPr="00464802" w:rsidRDefault="002975A3" w:rsidP="009F004E">
      <w:pPr>
        <w:rPr>
          <w:lang w:val="nb-NO"/>
        </w:rPr>
      </w:pPr>
      <w:r w:rsidRPr="00464802">
        <w:rPr>
          <w:lang w:val="nb-NO"/>
        </w:rPr>
        <w:t>1:KRAM inkl D og kalk.</w:t>
      </w:r>
    </w:p>
    <w:p w14:paraId="40F49CB1" w14:textId="77777777" w:rsidR="002975A3" w:rsidRDefault="002975A3" w:rsidP="009F004E">
      <w:r>
        <w:t>2: kommunale tilbud/ Sundhedsstyrelsen app mine knogle</w:t>
      </w:r>
    </w:p>
    <w:p w14:paraId="032C05ED" w14:textId="77777777" w:rsidR="002975A3" w:rsidRDefault="002975A3" w:rsidP="009F004E">
      <w:r>
        <w:t>3: evt medicinsk behandling  Anslået Beh Varighed</w:t>
      </w:r>
      <w:r w:rsidRPr="00464802">
        <w:t xml:space="preserve"> </w:t>
      </w:r>
    </w:p>
    <w:p w14:paraId="4AEBFD7C" w14:textId="77777777" w:rsidR="002975A3" w:rsidRDefault="002975A3" w:rsidP="009F004E">
      <w:r>
        <w:t>Kontrolhyppighed</w:t>
      </w:r>
    </w:p>
    <w:p w14:paraId="5A685437" w14:textId="77777777" w:rsidR="002975A3" w:rsidRDefault="002975A3" w:rsidP="009F004E">
      <w:r>
        <w:t>Ny tid givet  recepter til næste kontrol</w:t>
      </w:r>
    </w:p>
    <w:p w14:paraId="6F73AE79" w14:textId="77777777" w:rsidR="002975A3" w:rsidRDefault="002975A3" w:rsidP="009F004E"/>
    <w:p w14:paraId="43F958C2" w14:textId="77777777" w:rsidR="002975A3" w:rsidRDefault="002975A3" w:rsidP="009F004E"/>
    <w:p w14:paraId="4FCEED9B" w14:textId="77777777" w:rsidR="002975A3" w:rsidRPr="009E14B1" w:rsidRDefault="002975A3" w:rsidP="009F004E">
      <w:pPr>
        <w:rPr>
          <w:b/>
          <w:bCs/>
        </w:rPr>
      </w:pPr>
      <w:r w:rsidRPr="009E14B1">
        <w:rPr>
          <w:b/>
          <w:bCs/>
        </w:rPr>
        <w:t>Frase status mellem (års) status</w:t>
      </w:r>
    </w:p>
    <w:p w14:paraId="507E390F" w14:textId="77777777" w:rsidR="002975A3" w:rsidRDefault="002975A3" w:rsidP="009F004E">
      <w:r>
        <w:t>Sygeplejerske eller læge.</w:t>
      </w:r>
    </w:p>
    <w:p w14:paraId="155FE7EB" w14:textId="77777777" w:rsidR="002975A3" w:rsidRDefault="002975A3" w:rsidP="009F004E">
      <w:r>
        <w:t xml:space="preserve">P : siden sidst Compliance KRAM inklusiv tilskud </w:t>
      </w:r>
    </w:p>
    <w:p w14:paraId="1B50D254" w14:textId="77777777" w:rsidR="002975A3" w:rsidRDefault="002975A3" w:rsidP="009F004E">
      <w:r>
        <w:t>O Vægt og højde gennemgang af evt blodprøver Evt nyre og D vit knoglemarkør /dxa</w:t>
      </w:r>
    </w:p>
    <w:p w14:paraId="06A19D96" w14:textId="77777777" w:rsidR="002975A3" w:rsidRDefault="002975A3" w:rsidP="009F004E">
      <w:r>
        <w:t xml:space="preserve">Plan </w:t>
      </w:r>
    </w:p>
    <w:p w14:paraId="01273865" w14:textId="77777777" w:rsidR="002975A3" w:rsidRDefault="002975A3" w:rsidP="009F004E">
      <w:r>
        <w:t>FMK ajourført</w:t>
      </w:r>
    </w:p>
    <w:p w14:paraId="3517B67D" w14:textId="75C3844B" w:rsidR="002975A3" w:rsidRPr="00F000B3" w:rsidRDefault="002975A3" w:rsidP="00DA66CB">
      <w:r>
        <w:t>Ny tid givet</w:t>
      </w:r>
    </w:p>
    <w:sectPr w:rsidR="002975A3" w:rsidRPr="00F000B3" w:rsidSect="0035082D">
      <w:headerReference w:type="even" r:id="rId11"/>
      <w:headerReference w:type="default" r:id="rId12"/>
      <w:footerReference w:type="even" r:id="rId13"/>
      <w:footerReference w:type="default" r:id="rId14"/>
      <w:headerReference w:type="first" r:id="rId15"/>
      <w:footerReference w:type="first" r:id="rId16"/>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1D561" w14:textId="77777777" w:rsidR="008E4D48" w:rsidRDefault="008E4D48" w:rsidP="00EA3E44">
      <w:pPr>
        <w:spacing w:after="0" w:line="240" w:lineRule="auto"/>
      </w:pPr>
      <w:r>
        <w:separator/>
      </w:r>
    </w:p>
  </w:endnote>
  <w:endnote w:type="continuationSeparator" w:id="0">
    <w:p w14:paraId="23D432A2" w14:textId="77777777" w:rsidR="008E4D48" w:rsidRDefault="008E4D48" w:rsidP="00EA3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0BD31" w14:textId="77777777" w:rsidR="006C2053" w:rsidRDefault="006C205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9348273"/>
      <w:docPartObj>
        <w:docPartGallery w:val="Page Numbers (Bottom of Page)"/>
        <w:docPartUnique/>
      </w:docPartObj>
    </w:sdtPr>
    <w:sdtEndPr/>
    <w:sdtContent>
      <w:p w14:paraId="698AEC8C" w14:textId="7F724699" w:rsidR="00543804" w:rsidRDefault="00543804">
        <w:pPr>
          <w:pStyle w:val="Sidefod"/>
          <w:jc w:val="right"/>
        </w:pPr>
        <w:r>
          <w:fldChar w:fldCharType="begin"/>
        </w:r>
        <w:r>
          <w:instrText>PAGE   \* MERGEFORMAT</w:instrText>
        </w:r>
        <w:r>
          <w:fldChar w:fldCharType="separate"/>
        </w:r>
        <w:r w:rsidR="00C1274E">
          <w:rPr>
            <w:noProof/>
          </w:rPr>
          <w:t>2</w:t>
        </w:r>
        <w:r>
          <w:fldChar w:fldCharType="end"/>
        </w:r>
      </w:p>
    </w:sdtContent>
  </w:sdt>
  <w:p w14:paraId="192095A4" w14:textId="77777777" w:rsidR="00543804" w:rsidRDefault="00543804">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702BE" w14:textId="77777777" w:rsidR="006C2053" w:rsidRDefault="006C205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08D53" w14:textId="77777777" w:rsidR="008E4D48" w:rsidRDefault="008E4D48" w:rsidP="00EA3E44">
      <w:pPr>
        <w:spacing w:after="0" w:line="240" w:lineRule="auto"/>
      </w:pPr>
      <w:r>
        <w:separator/>
      </w:r>
    </w:p>
  </w:footnote>
  <w:footnote w:type="continuationSeparator" w:id="0">
    <w:p w14:paraId="4CF4CC39" w14:textId="77777777" w:rsidR="008E4D48" w:rsidRDefault="008E4D48" w:rsidP="00EA3E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66A0E" w14:textId="0741A5D2" w:rsidR="006C2053" w:rsidRDefault="00DE7CD2">
    <w:pPr>
      <w:pStyle w:val="Sidehoved"/>
    </w:pPr>
    <w:r>
      <w:rPr>
        <w:noProof/>
      </w:rPr>
      <w:pict w14:anchorId="0D7CC9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4562782" o:spid="_x0000_s2051" type="#_x0000_t136" style="position:absolute;margin-left:0;margin-top:0;width:452.95pt;height:226.45pt;rotation:315;z-index:-251655168;mso-position-horizontal:center;mso-position-horizontal-relative:margin;mso-position-vertical:center;mso-position-vertical-relative:margin" o:allowincell="f" fillcolor="silver" stroked="f">
          <v:fill opacity=".5"/>
          <v:textpath style="font-family:&quot;Calibri&quot;;font-size:1pt" string="Udka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B7494" w14:textId="40CCC3EB" w:rsidR="00543804" w:rsidRDefault="00DE7CD2">
    <w:pPr>
      <w:pStyle w:val="Sidehoved"/>
    </w:pPr>
    <w:r>
      <w:rPr>
        <w:noProof/>
      </w:rPr>
      <w:pict w14:anchorId="3382ED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4562783" o:spid="_x0000_s2052" type="#_x0000_t136" style="position:absolute;margin-left:0;margin-top:0;width:452.95pt;height:226.45pt;rotation:315;z-index:-251653120;mso-position-horizontal:center;mso-position-horizontal-relative:margin;mso-position-vertical:center;mso-position-vertical-relative:margin" o:allowincell="f" fillcolor="silver" stroked="f">
          <v:fill opacity=".5"/>
          <v:textpath style="font-family:&quot;Calibri&quot;;font-size:1pt" string="Udkast"/>
          <w10:wrap anchorx="margin" anchory="margin"/>
        </v:shape>
      </w:pict>
    </w:r>
    <w:r w:rsidR="00543804">
      <w:t>Osteoporose – vejledning i udkast – april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BE90B" w14:textId="1B0CEE36" w:rsidR="006C2053" w:rsidRDefault="00DE7CD2">
    <w:pPr>
      <w:pStyle w:val="Sidehoved"/>
    </w:pPr>
    <w:r>
      <w:rPr>
        <w:noProof/>
      </w:rPr>
      <w:pict w14:anchorId="138972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4562781" o:spid="_x0000_s2050" type="#_x0000_t136" style="position:absolute;margin-left:0;margin-top:0;width:452.95pt;height:226.45pt;rotation:315;z-index:-251657216;mso-position-horizontal:center;mso-position-horizontal-relative:margin;mso-position-vertical:center;mso-position-vertical-relative:margin" o:allowincell="f" fillcolor="silver" stroked="f">
          <v:fill opacity=".5"/>
          <v:textpath style="font-family:&quot;Calibri&quot;;font-size:1pt" string="Udkas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73F5D"/>
    <w:multiLevelType w:val="hybridMultilevel"/>
    <w:tmpl w:val="3300EB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9DE3375"/>
    <w:multiLevelType w:val="hybridMultilevel"/>
    <w:tmpl w:val="77A8C66E"/>
    <w:lvl w:ilvl="0" w:tplc="040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A2268D4"/>
    <w:multiLevelType w:val="multilevel"/>
    <w:tmpl w:val="92B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BE6416"/>
    <w:multiLevelType w:val="hybridMultilevel"/>
    <w:tmpl w:val="DB909BE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FED2D62"/>
    <w:multiLevelType w:val="hybridMultilevel"/>
    <w:tmpl w:val="B942C55E"/>
    <w:lvl w:ilvl="0" w:tplc="903A6F70">
      <w:start w:val="1"/>
      <w:numFmt w:val="decimal"/>
      <w:lvlText w:val="%1."/>
      <w:lvlJc w:val="left"/>
      <w:pPr>
        <w:ind w:left="720" w:hanging="360"/>
      </w:pPr>
      <w:rPr>
        <w:rFonts w:hint="default"/>
        <w:b/>
        <w:u w:val="single"/>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3815ED4"/>
    <w:multiLevelType w:val="hybridMultilevel"/>
    <w:tmpl w:val="7F4022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50442D4"/>
    <w:multiLevelType w:val="multilevel"/>
    <w:tmpl w:val="06EC0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472EBC"/>
    <w:multiLevelType w:val="hybridMultilevel"/>
    <w:tmpl w:val="790AD6D2"/>
    <w:lvl w:ilvl="0" w:tplc="90963BB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BDB342D"/>
    <w:multiLevelType w:val="multilevel"/>
    <w:tmpl w:val="BB16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FF3068"/>
    <w:multiLevelType w:val="hybridMultilevel"/>
    <w:tmpl w:val="9312BC52"/>
    <w:lvl w:ilvl="0" w:tplc="90963BB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40F727B"/>
    <w:multiLevelType w:val="hybridMultilevel"/>
    <w:tmpl w:val="F2F08470"/>
    <w:lvl w:ilvl="0" w:tplc="0406000F">
      <w:start w:val="1"/>
      <w:numFmt w:val="decimal"/>
      <w:lvlText w:val="%1."/>
      <w:lvlJc w:val="left"/>
      <w:pPr>
        <w:ind w:left="2203"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42D5FD1"/>
    <w:multiLevelType w:val="multilevel"/>
    <w:tmpl w:val="307A3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3E57C6"/>
    <w:multiLevelType w:val="hybridMultilevel"/>
    <w:tmpl w:val="046ABC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DF8177D"/>
    <w:multiLevelType w:val="multilevel"/>
    <w:tmpl w:val="A0CC2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953016"/>
    <w:multiLevelType w:val="multilevel"/>
    <w:tmpl w:val="DA188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6A0418"/>
    <w:multiLevelType w:val="hybridMultilevel"/>
    <w:tmpl w:val="DE0CFF60"/>
    <w:lvl w:ilvl="0" w:tplc="040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9C20BF9"/>
    <w:multiLevelType w:val="multilevel"/>
    <w:tmpl w:val="EDB0F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B34206"/>
    <w:multiLevelType w:val="hybridMultilevel"/>
    <w:tmpl w:val="42647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6EEA6791"/>
    <w:multiLevelType w:val="hybridMultilevel"/>
    <w:tmpl w:val="CCA2EA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F73583D"/>
    <w:multiLevelType w:val="hybridMultilevel"/>
    <w:tmpl w:val="E6CEEE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6FAD0591"/>
    <w:multiLevelType w:val="hybridMultilevel"/>
    <w:tmpl w:val="699040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765332C6"/>
    <w:multiLevelType w:val="hybridMultilevel"/>
    <w:tmpl w:val="5470E7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768A565C"/>
    <w:multiLevelType w:val="multilevel"/>
    <w:tmpl w:val="C486B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1F184D"/>
    <w:multiLevelType w:val="hybridMultilevel"/>
    <w:tmpl w:val="8948FA7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78A1002F"/>
    <w:multiLevelType w:val="hybridMultilevel"/>
    <w:tmpl w:val="F2F08470"/>
    <w:lvl w:ilvl="0" w:tplc="0406000F">
      <w:start w:val="1"/>
      <w:numFmt w:val="decimal"/>
      <w:lvlText w:val="%1."/>
      <w:lvlJc w:val="left"/>
      <w:pPr>
        <w:ind w:left="2203"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7BD745A3"/>
    <w:multiLevelType w:val="hybridMultilevel"/>
    <w:tmpl w:val="6038AB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24"/>
  </w:num>
  <w:num w:numId="4">
    <w:abstractNumId w:val="3"/>
  </w:num>
  <w:num w:numId="5">
    <w:abstractNumId w:val="4"/>
  </w:num>
  <w:num w:numId="6">
    <w:abstractNumId w:val="23"/>
  </w:num>
  <w:num w:numId="7">
    <w:abstractNumId w:val="14"/>
  </w:num>
  <w:num w:numId="8">
    <w:abstractNumId w:val="8"/>
  </w:num>
  <w:num w:numId="9">
    <w:abstractNumId w:val="13"/>
  </w:num>
  <w:num w:numId="10">
    <w:abstractNumId w:val="6"/>
  </w:num>
  <w:num w:numId="11">
    <w:abstractNumId w:val="10"/>
  </w:num>
  <w:num w:numId="12">
    <w:abstractNumId w:val="12"/>
  </w:num>
  <w:num w:numId="13">
    <w:abstractNumId w:val="19"/>
  </w:num>
  <w:num w:numId="14">
    <w:abstractNumId w:val="0"/>
  </w:num>
  <w:num w:numId="15">
    <w:abstractNumId w:val="5"/>
  </w:num>
  <w:num w:numId="16">
    <w:abstractNumId w:val="18"/>
  </w:num>
  <w:num w:numId="17">
    <w:abstractNumId w:val="1"/>
  </w:num>
  <w:num w:numId="18">
    <w:abstractNumId w:val="20"/>
  </w:num>
  <w:num w:numId="19">
    <w:abstractNumId w:val="7"/>
  </w:num>
  <w:num w:numId="20">
    <w:abstractNumId w:val="9"/>
  </w:num>
  <w:num w:numId="21">
    <w:abstractNumId w:val="25"/>
  </w:num>
  <w:num w:numId="22">
    <w:abstractNumId w:val="21"/>
  </w:num>
  <w:num w:numId="23">
    <w:abstractNumId w:val="15"/>
  </w:num>
  <w:num w:numId="24">
    <w:abstractNumId w:val="17"/>
  </w:num>
  <w:num w:numId="25">
    <w:abstractNumId w:val="1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D6A"/>
    <w:rsid w:val="00004B50"/>
    <w:rsid w:val="000064CB"/>
    <w:rsid w:val="00006D52"/>
    <w:rsid w:val="000105BB"/>
    <w:rsid w:val="00010CE3"/>
    <w:rsid w:val="000137D1"/>
    <w:rsid w:val="00013F82"/>
    <w:rsid w:val="000154D0"/>
    <w:rsid w:val="000158B2"/>
    <w:rsid w:val="00016A09"/>
    <w:rsid w:val="00017703"/>
    <w:rsid w:val="000311EF"/>
    <w:rsid w:val="0003243E"/>
    <w:rsid w:val="00032622"/>
    <w:rsid w:val="00033C12"/>
    <w:rsid w:val="00033E0F"/>
    <w:rsid w:val="000376C0"/>
    <w:rsid w:val="0004022C"/>
    <w:rsid w:val="000417A2"/>
    <w:rsid w:val="00041F5E"/>
    <w:rsid w:val="000436A1"/>
    <w:rsid w:val="00044032"/>
    <w:rsid w:val="00051F74"/>
    <w:rsid w:val="00052475"/>
    <w:rsid w:val="00053D57"/>
    <w:rsid w:val="00057A7F"/>
    <w:rsid w:val="00062100"/>
    <w:rsid w:val="000626D6"/>
    <w:rsid w:val="000636EA"/>
    <w:rsid w:val="000652EA"/>
    <w:rsid w:val="00065750"/>
    <w:rsid w:val="000678FE"/>
    <w:rsid w:val="00070700"/>
    <w:rsid w:val="00071A5D"/>
    <w:rsid w:val="000723FF"/>
    <w:rsid w:val="0007378F"/>
    <w:rsid w:val="00074D93"/>
    <w:rsid w:val="00075870"/>
    <w:rsid w:val="000812B9"/>
    <w:rsid w:val="00082071"/>
    <w:rsid w:val="000836A4"/>
    <w:rsid w:val="00086EB2"/>
    <w:rsid w:val="00091BE7"/>
    <w:rsid w:val="000963C6"/>
    <w:rsid w:val="000A02BF"/>
    <w:rsid w:val="000A4D39"/>
    <w:rsid w:val="000A584A"/>
    <w:rsid w:val="000A72B8"/>
    <w:rsid w:val="000A7723"/>
    <w:rsid w:val="000B1EFB"/>
    <w:rsid w:val="000B79C3"/>
    <w:rsid w:val="000C1363"/>
    <w:rsid w:val="000C1D97"/>
    <w:rsid w:val="000C2CB2"/>
    <w:rsid w:val="000D0A4A"/>
    <w:rsid w:val="000D1CC3"/>
    <w:rsid w:val="000D1F04"/>
    <w:rsid w:val="000D3D97"/>
    <w:rsid w:val="000D78E5"/>
    <w:rsid w:val="000E2250"/>
    <w:rsid w:val="000E3769"/>
    <w:rsid w:val="000E37F7"/>
    <w:rsid w:val="000E4FEE"/>
    <w:rsid w:val="000F01C1"/>
    <w:rsid w:val="000F02E3"/>
    <w:rsid w:val="000F23B7"/>
    <w:rsid w:val="000F2F02"/>
    <w:rsid w:val="000F3FC4"/>
    <w:rsid w:val="00103231"/>
    <w:rsid w:val="0011122B"/>
    <w:rsid w:val="001133EE"/>
    <w:rsid w:val="00115781"/>
    <w:rsid w:val="0011639D"/>
    <w:rsid w:val="0011726D"/>
    <w:rsid w:val="0012234F"/>
    <w:rsid w:val="0012282B"/>
    <w:rsid w:val="00122A29"/>
    <w:rsid w:val="00125632"/>
    <w:rsid w:val="00125D6A"/>
    <w:rsid w:val="00132A9E"/>
    <w:rsid w:val="00132F38"/>
    <w:rsid w:val="001347F7"/>
    <w:rsid w:val="00135C93"/>
    <w:rsid w:val="00142E8F"/>
    <w:rsid w:val="0014555A"/>
    <w:rsid w:val="001501A8"/>
    <w:rsid w:val="00151710"/>
    <w:rsid w:val="00152D23"/>
    <w:rsid w:val="0016227C"/>
    <w:rsid w:val="0016458F"/>
    <w:rsid w:val="00165C58"/>
    <w:rsid w:val="0016680C"/>
    <w:rsid w:val="0017107C"/>
    <w:rsid w:val="001730D1"/>
    <w:rsid w:val="00174016"/>
    <w:rsid w:val="00176811"/>
    <w:rsid w:val="00181717"/>
    <w:rsid w:val="00184299"/>
    <w:rsid w:val="001844F0"/>
    <w:rsid w:val="00186954"/>
    <w:rsid w:val="00190D11"/>
    <w:rsid w:val="00191F01"/>
    <w:rsid w:val="00194508"/>
    <w:rsid w:val="00195419"/>
    <w:rsid w:val="00195636"/>
    <w:rsid w:val="001A046E"/>
    <w:rsid w:val="001A1E2D"/>
    <w:rsid w:val="001A2D92"/>
    <w:rsid w:val="001A7ADC"/>
    <w:rsid w:val="001B35D7"/>
    <w:rsid w:val="001C0759"/>
    <w:rsid w:val="001C0F8B"/>
    <w:rsid w:val="001C12E3"/>
    <w:rsid w:val="001C1EC4"/>
    <w:rsid w:val="001C2AB5"/>
    <w:rsid w:val="001C57A2"/>
    <w:rsid w:val="001C6FBC"/>
    <w:rsid w:val="001C7181"/>
    <w:rsid w:val="001C7988"/>
    <w:rsid w:val="001D12F3"/>
    <w:rsid w:val="001E1F37"/>
    <w:rsid w:val="001E2526"/>
    <w:rsid w:val="001E287A"/>
    <w:rsid w:val="001E325E"/>
    <w:rsid w:val="001E3709"/>
    <w:rsid w:val="001F2222"/>
    <w:rsid w:val="001F4F37"/>
    <w:rsid w:val="001F4F92"/>
    <w:rsid w:val="00200B4F"/>
    <w:rsid w:val="002024C1"/>
    <w:rsid w:val="00203A02"/>
    <w:rsid w:val="00207DE7"/>
    <w:rsid w:val="002106DD"/>
    <w:rsid w:val="00213455"/>
    <w:rsid w:val="00215651"/>
    <w:rsid w:val="00215FC8"/>
    <w:rsid w:val="00221D9C"/>
    <w:rsid w:val="00221F31"/>
    <w:rsid w:val="00224198"/>
    <w:rsid w:val="00224C7B"/>
    <w:rsid w:val="00224C8E"/>
    <w:rsid w:val="00224C9C"/>
    <w:rsid w:val="00226A1C"/>
    <w:rsid w:val="00234FA6"/>
    <w:rsid w:val="002368F0"/>
    <w:rsid w:val="00236C25"/>
    <w:rsid w:val="002436CF"/>
    <w:rsid w:val="0024372B"/>
    <w:rsid w:val="002442FB"/>
    <w:rsid w:val="0024715E"/>
    <w:rsid w:val="00251AE2"/>
    <w:rsid w:val="00253ED0"/>
    <w:rsid w:val="00255E96"/>
    <w:rsid w:val="0026419F"/>
    <w:rsid w:val="002646EC"/>
    <w:rsid w:val="002660F7"/>
    <w:rsid w:val="00270597"/>
    <w:rsid w:val="00273846"/>
    <w:rsid w:val="0027470D"/>
    <w:rsid w:val="00281D3A"/>
    <w:rsid w:val="00281DF1"/>
    <w:rsid w:val="0028270A"/>
    <w:rsid w:val="0028609A"/>
    <w:rsid w:val="00286F0B"/>
    <w:rsid w:val="00291FB6"/>
    <w:rsid w:val="002930E3"/>
    <w:rsid w:val="002942B2"/>
    <w:rsid w:val="002954B3"/>
    <w:rsid w:val="002975A3"/>
    <w:rsid w:val="002A02C4"/>
    <w:rsid w:val="002A07D0"/>
    <w:rsid w:val="002A72ED"/>
    <w:rsid w:val="002A7E7D"/>
    <w:rsid w:val="002B1EBF"/>
    <w:rsid w:val="002B2FC0"/>
    <w:rsid w:val="002C1C36"/>
    <w:rsid w:val="002C481B"/>
    <w:rsid w:val="002C6628"/>
    <w:rsid w:val="002D3446"/>
    <w:rsid w:val="002D4050"/>
    <w:rsid w:val="002D40DF"/>
    <w:rsid w:val="002D5BF7"/>
    <w:rsid w:val="002E0312"/>
    <w:rsid w:val="002E04E4"/>
    <w:rsid w:val="002E315A"/>
    <w:rsid w:val="002E4172"/>
    <w:rsid w:val="002E5848"/>
    <w:rsid w:val="002E5F32"/>
    <w:rsid w:val="002E7127"/>
    <w:rsid w:val="002F0002"/>
    <w:rsid w:val="002F008B"/>
    <w:rsid w:val="002F14D5"/>
    <w:rsid w:val="002F34C1"/>
    <w:rsid w:val="002F488A"/>
    <w:rsid w:val="00300EF6"/>
    <w:rsid w:val="00302F84"/>
    <w:rsid w:val="00304C3F"/>
    <w:rsid w:val="0030563A"/>
    <w:rsid w:val="00310A22"/>
    <w:rsid w:val="00310F63"/>
    <w:rsid w:val="00311149"/>
    <w:rsid w:val="00311C77"/>
    <w:rsid w:val="00313567"/>
    <w:rsid w:val="00313649"/>
    <w:rsid w:val="003142C2"/>
    <w:rsid w:val="003171D9"/>
    <w:rsid w:val="003174F4"/>
    <w:rsid w:val="0032044E"/>
    <w:rsid w:val="00320730"/>
    <w:rsid w:val="00323394"/>
    <w:rsid w:val="0033072E"/>
    <w:rsid w:val="0033205D"/>
    <w:rsid w:val="0033254D"/>
    <w:rsid w:val="003327E3"/>
    <w:rsid w:val="0033282D"/>
    <w:rsid w:val="00333A5A"/>
    <w:rsid w:val="003342B0"/>
    <w:rsid w:val="003355ED"/>
    <w:rsid w:val="003422F4"/>
    <w:rsid w:val="003427D5"/>
    <w:rsid w:val="00345036"/>
    <w:rsid w:val="00347B55"/>
    <w:rsid w:val="0035082D"/>
    <w:rsid w:val="00351710"/>
    <w:rsid w:val="00351E70"/>
    <w:rsid w:val="00351EF0"/>
    <w:rsid w:val="0035277A"/>
    <w:rsid w:val="00352D8E"/>
    <w:rsid w:val="003534DD"/>
    <w:rsid w:val="00355435"/>
    <w:rsid w:val="0035544F"/>
    <w:rsid w:val="0035688D"/>
    <w:rsid w:val="003607E0"/>
    <w:rsid w:val="00360EF6"/>
    <w:rsid w:val="003615BE"/>
    <w:rsid w:val="00364E1D"/>
    <w:rsid w:val="0036771C"/>
    <w:rsid w:val="0037048B"/>
    <w:rsid w:val="00372075"/>
    <w:rsid w:val="00373C1E"/>
    <w:rsid w:val="0037624F"/>
    <w:rsid w:val="00376F3F"/>
    <w:rsid w:val="003772AD"/>
    <w:rsid w:val="003830F8"/>
    <w:rsid w:val="0038391E"/>
    <w:rsid w:val="00385DA6"/>
    <w:rsid w:val="003864E9"/>
    <w:rsid w:val="0039115D"/>
    <w:rsid w:val="00391B29"/>
    <w:rsid w:val="003938B8"/>
    <w:rsid w:val="00393FA9"/>
    <w:rsid w:val="0039714D"/>
    <w:rsid w:val="003A3C1E"/>
    <w:rsid w:val="003A6586"/>
    <w:rsid w:val="003A6731"/>
    <w:rsid w:val="003B0DAD"/>
    <w:rsid w:val="003B42B2"/>
    <w:rsid w:val="003B435D"/>
    <w:rsid w:val="003B48F9"/>
    <w:rsid w:val="003B495A"/>
    <w:rsid w:val="003B6A26"/>
    <w:rsid w:val="003B75FC"/>
    <w:rsid w:val="003C0116"/>
    <w:rsid w:val="003C1DE7"/>
    <w:rsid w:val="003C1E4F"/>
    <w:rsid w:val="003C22DF"/>
    <w:rsid w:val="003C41D9"/>
    <w:rsid w:val="003C5FAD"/>
    <w:rsid w:val="003C6990"/>
    <w:rsid w:val="003D05D0"/>
    <w:rsid w:val="003D26CF"/>
    <w:rsid w:val="003D3F5F"/>
    <w:rsid w:val="003D5CC8"/>
    <w:rsid w:val="003E0D16"/>
    <w:rsid w:val="003E1788"/>
    <w:rsid w:val="003E3727"/>
    <w:rsid w:val="003F22BD"/>
    <w:rsid w:val="003F4EF5"/>
    <w:rsid w:val="003F709A"/>
    <w:rsid w:val="003F7E13"/>
    <w:rsid w:val="00403E43"/>
    <w:rsid w:val="00407687"/>
    <w:rsid w:val="00410091"/>
    <w:rsid w:val="004102D3"/>
    <w:rsid w:val="00412296"/>
    <w:rsid w:val="00417594"/>
    <w:rsid w:val="00420477"/>
    <w:rsid w:val="004217EF"/>
    <w:rsid w:val="00422466"/>
    <w:rsid w:val="0042487F"/>
    <w:rsid w:val="0042538D"/>
    <w:rsid w:val="0043034A"/>
    <w:rsid w:val="00430C7B"/>
    <w:rsid w:val="00432A60"/>
    <w:rsid w:val="00432A6D"/>
    <w:rsid w:val="00436323"/>
    <w:rsid w:val="004374D0"/>
    <w:rsid w:val="00437506"/>
    <w:rsid w:val="004401C5"/>
    <w:rsid w:val="00444826"/>
    <w:rsid w:val="00445909"/>
    <w:rsid w:val="0044683A"/>
    <w:rsid w:val="004510C4"/>
    <w:rsid w:val="004510CB"/>
    <w:rsid w:val="00451756"/>
    <w:rsid w:val="0045380E"/>
    <w:rsid w:val="00454F77"/>
    <w:rsid w:val="00457793"/>
    <w:rsid w:val="00462244"/>
    <w:rsid w:val="00462697"/>
    <w:rsid w:val="0046389C"/>
    <w:rsid w:val="004653C2"/>
    <w:rsid w:val="004664EF"/>
    <w:rsid w:val="00467A0F"/>
    <w:rsid w:val="00470F29"/>
    <w:rsid w:val="00471497"/>
    <w:rsid w:val="00473B14"/>
    <w:rsid w:val="00475718"/>
    <w:rsid w:val="00476B2B"/>
    <w:rsid w:val="004803DD"/>
    <w:rsid w:val="004809C3"/>
    <w:rsid w:val="0048273F"/>
    <w:rsid w:val="0048396F"/>
    <w:rsid w:val="004873FA"/>
    <w:rsid w:val="00487541"/>
    <w:rsid w:val="004878BA"/>
    <w:rsid w:val="00490EE8"/>
    <w:rsid w:val="00492C7D"/>
    <w:rsid w:val="00492FF0"/>
    <w:rsid w:val="00493F6F"/>
    <w:rsid w:val="00495CAF"/>
    <w:rsid w:val="00497F4D"/>
    <w:rsid w:val="004A0A26"/>
    <w:rsid w:val="004A2312"/>
    <w:rsid w:val="004A3FA2"/>
    <w:rsid w:val="004A5B0C"/>
    <w:rsid w:val="004A5C4E"/>
    <w:rsid w:val="004B3DD8"/>
    <w:rsid w:val="004B443D"/>
    <w:rsid w:val="004B6A45"/>
    <w:rsid w:val="004B6EDA"/>
    <w:rsid w:val="004C1EF6"/>
    <w:rsid w:val="004C4783"/>
    <w:rsid w:val="004D078D"/>
    <w:rsid w:val="004D23E5"/>
    <w:rsid w:val="004D4E10"/>
    <w:rsid w:val="004E7506"/>
    <w:rsid w:val="004E7851"/>
    <w:rsid w:val="004F48B7"/>
    <w:rsid w:val="004F6E40"/>
    <w:rsid w:val="005002EC"/>
    <w:rsid w:val="00503D89"/>
    <w:rsid w:val="0050743F"/>
    <w:rsid w:val="00512221"/>
    <w:rsid w:val="00512822"/>
    <w:rsid w:val="00516521"/>
    <w:rsid w:val="0051681D"/>
    <w:rsid w:val="00517E1A"/>
    <w:rsid w:val="005245BC"/>
    <w:rsid w:val="00525CB6"/>
    <w:rsid w:val="00527AF5"/>
    <w:rsid w:val="005322F5"/>
    <w:rsid w:val="00540902"/>
    <w:rsid w:val="00541017"/>
    <w:rsid w:val="005410FF"/>
    <w:rsid w:val="00543804"/>
    <w:rsid w:val="005462FE"/>
    <w:rsid w:val="00547372"/>
    <w:rsid w:val="0055226C"/>
    <w:rsid w:val="00556031"/>
    <w:rsid w:val="00556BB2"/>
    <w:rsid w:val="00557A7C"/>
    <w:rsid w:val="00561F99"/>
    <w:rsid w:val="0056344E"/>
    <w:rsid w:val="005636E7"/>
    <w:rsid w:val="00564A03"/>
    <w:rsid w:val="00565042"/>
    <w:rsid w:val="00565331"/>
    <w:rsid w:val="00574A49"/>
    <w:rsid w:val="00576C74"/>
    <w:rsid w:val="0058174A"/>
    <w:rsid w:val="00581A66"/>
    <w:rsid w:val="00583050"/>
    <w:rsid w:val="00583C1E"/>
    <w:rsid w:val="0059127B"/>
    <w:rsid w:val="00593CE5"/>
    <w:rsid w:val="0059698E"/>
    <w:rsid w:val="00596E69"/>
    <w:rsid w:val="00597370"/>
    <w:rsid w:val="005A1459"/>
    <w:rsid w:val="005A66C0"/>
    <w:rsid w:val="005A78D7"/>
    <w:rsid w:val="005B5792"/>
    <w:rsid w:val="005B5CCB"/>
    <w:rsid w:val="005B6880"/>
    <w:rsid w:val="005C55C8"/>
    <w:rsid w:val="005D1B3E"/>
    <w:rsid w:val="005D1FFB"/>
    <w:rsid w:val="005D738B"/>
    <w:rsid w:val="005D74A6"/>
    <w:rsid w:val="005D7CC4"/>
    <w:rsid w:val="005D7E74"/>
    <w:rsid w:val="005E2FED"/>
    <w:rsid w:val="005E739A"/>
    <w:rsid w:val="005E7916"/>
    <w:rsid w:val="005F1644"/>
    <w:rsid w:val="005F615B"/>
    <w:rsid w:val="0060013E"/>
    <w:rsid w:val="006043B8"/>
    <w:rsid w:val="00604E85"/>
    <w:rsid w:val="00606356"/>
    <w:rsid w:val="006075C6"/>
    <w:rsid w:val="00613224"/>
    <w:rsid w:val="006161FD"/>
    <w:rsid w:val="00617EB0"/>
    <w:rsid w:val="00624D08"/>
    <w:rsid w:val="00625C06"/>
    <w:rsid w:val="0062775F"/>
    <w:rsid w:val="006321A7"/>
    <w:rsid w:val="00632AC3"/>
    <w:rsid w:val="006334E1"/>
    <w:rsid w:val="00641FAE"/>
    <w:rsid w:val="0064489B"/>
    <w:rsid w:val="00645E82"/>
    <w:rsid w:val="00650992"/>
    <w:rsid w:val="00651289"/>
    <w:rsid w:val="00655D69"/>
    <w:rsid w:val="00655FD2"/>
    <w:rsid w:val="0065738F"/>
    <w:rsid w:val="00657A44"/>
    <w:rsid w:val="006613C3"/>
    <w:rsid w:val="0066164B"/>
    <w:rsid w:val="006636CC"/>
    <w:rsid w:val="00663D9B"/>
    <w:rsid w:val="006643B1"/>
    <w:rsid w:val="006668AA"/>
    <w:rsid w:val="0067044F"/>
    <w:rsid w:val="00670B60"/>
    <w:rsid w:val="006740C3"/>
    <w:rsid w:val="00680716"/>
    <w:rsid w:val="006870F7"/>
    <w:rsid w:val="006A2C40"/>
    <w:rsid w:val="006B060F"/>
    <w:rsid w:val="006B2A66"/>
    <w:rsid w:val="006B2CF6"/>
    <w:rsid w:val="006B2F8C"/>
    <w:rsid w:val="006B328C"/>
    <w:rsid w:val="006B5829"/>
    <w:rsid w:val="006B77D0"/>
    <w:rsid w:val="006C01EE"/>
    <w:rsid w:val="006C0DD0"/>
    <w:rsid w:val="006C2053"/>
    <w:rsid w:val="006C26AF"/>
    <w:rsid w:val="006C2EE7"/>
    <w:rsid w:val="006C51EB"/>
    <w:rsid w:val="006C79A5"/>
    <w:rsid w:val="006C7E1A"/>
    <w:rsid w:val="006D0F99"/>
    <w:rsid w:val="006D2419"/>
    <w:rsid w:val="006D2CF6"/>
    <w:rsid w:val="006D348A"/>
    <w:rsid w:val="006D364B"/>
    <w:rsid w:val="006D42C0"/>
    <w:rsid w:val="006E2E81"/>
    <w:rsid w:val="006E2F4B"/>
    <w:rsid w:val="006E3B45"/>
    <w:rsid w:val="006F509D"/>
    <w:rsid w:val="006F5DE2"/>
    <w:rsid w:val="0070144C"/>
    <w:rsid w:val="007025C8"/>
    <w:rsid w:val="0070464F"/>
    <w:rsid w:val="00705E92"/>
    <w:rsid w:val="007060CF"/>
    <w:rsid w:val="00707E72"/>
    <w:rsid w:val="007125AA"/>
    <w:rsid w:val="00716564"/>
    <w:rsid w:val="00726C1D"/>
    <w:rsid w:val="00731864"/>
    <w:rsid w:val="0073555A"/>
    <w:rsid w:val="00735A26"/>
    <w:rsid w:val="007376BE"/>
    <w:rsid w:val="0074043D"/>
    <w:rsid w:val="00742226"/>
    <w:rsid w:val="0074579C"/>
    <w:rsid w:val="00751189"/>
    <w:rsid w:val="00753E26"/>
    <w:rsid w:val="00756575"/>
    <w:rsid w:val="0076007E"/>
    <w:rsid w:val="007662FC"/>
    <w:rsid w:val="0076696F"/>
    <w:rsid w:val="0077276B"/>
    <w:rsid w:val="00774166"/>
    <w:rsid w:val="00774FC6"/>
    <w:rsid w:val="00777187"/>
    <w:rsid w:val="00777824"/>
    <w:rsid w:val="0078250D"/>
    <w:rsid w:val="00792554"/>
    <w:rsid w:val="00792B42"/>
    <w:rsid w:val="0079313E"/>
    <w:rsid w:val="0079483B"/>
    <w:rsid w:val="0079637A"/>
    <w:rsid w:val="007A22E7"/>
    <w:rsid w:val="007A4387"/>
    <w:rsid w:val="007B06AF"/>
    <w:rsid w:val="007B07D0"/>
    <w:rsid w:val="007B25A7"/>
    <w:rsid w:val="007B2971"/>
    <w:rsid w:val="007B44DF"/>
    <w:rsid w:val="007C28CC"/>
    <w:rsid w:val="007C2C55"/>
    <w:rsid w:val="007C2E22"/>
    <w:rsid w:val="007C3805"/>
    <w:rsid w:val="007C706A"/>
    <w:rsid w:val="007C7DAA"/>
    <w:rsid w:val="007D103E"/>
    <w:rsid w:val="007D4055"/>
    <w:rsid w:val="007D5A41"/>
    <w:rsid w:val="007F026F"/>
    <w:rsid w:val="007F11C2"/>
    <w:rsid w:val="007F19C8"/>
    <w:rsid w:val="007F1A74"/>
    <w:rsid w:val="007F49F3"/>
    <w:rsid w:val="007F4D80"/>
    <w:rsid w:val="007F4F7E"/>
    <w:rsid w:val="007F7D06"/>
    <w:rsid w:val="00801312"/>
    <w:rsid w:val="008013E8"/>
    <w:rsid w:val="00801853"/>
    <w:rsid w:val="00801FA3"/>
    <w:rsid w:val="008025D0"/>
    <w:rsid w:val="00802935"/>
    <w:rsid w:val="008030C5"/>
    <w:rsid w:val="008035FA"/>
    <w:rsid w:val="008049D7"/>
    <w:rsid w:val="00810F9D"/>
    <w:rsid w:val="00814704"/>
    <w:rsid w:val="00814CBC"/>
    <w:rsid w:val="00816942"/>
    <w:rsid w:val="00820897"/>
    <w:rsid w:val="00821916"/>
    <w:rsid w:val="00821CD3"/>
    <w:rsid w:val="00822436"/>
    <w:rsid w:val="0082276F"/>
    <w:rsid w:val="00822EAC"/>
    <w:rsid w:val="0082518E"/>
    <w:rsid w:val="00825453"/>
    <w:rsid w:val="0082687C"/>
    <w:rsid w:val="008311F3"/>
    <w:rsid w:val="00836346"/>
    <w:rsid w:val="00836364"/>
    <w:rsid w:val="008374F6"/>
    <w:rsid w:val="00837CB2"/>
    <w:rsid w:val="00840F97"/>
    <w:rsid w:val="0084454C"/>
    <w:rsid w:val="00845400"/>
    <w:rsid w:val="008464FD"/>
    <w:rsid w:val="00847753"/>
    <w:rsid w:val="00847C7B"/>
    <w:rsid w:val="00851820"/>
    <w:rsid w:val="0085234D"/>
    <w:rsid w:val="00852438"/>
    <w:rsid w:val="00853FA1"/>
    <w:rsid w:val="00854AB7"/>
    <w:rsid w:val="008579D7"/>
    <w:rsid w:val="00862066"/>
    <w:rsid w:val="00863207"/>
    <w:rsid w:val="008736ED"/>
    <w:rsid w:val="00877717"/>
    <w:rsid w:val="008807AB"/>
    <w:rsid w:val="00882901"/>
    <w:rsid w:val="008843EA"/>
    <w:rsid w:val="00885D8A"/>
    <w:rsid w:val="0089055A"/>
    <w:rsid w:val="00896926"/>
    <w:rsid w:val="00896EFF"/>
    <w:rsid w:val="008A52D9"/>
    <w:rsid w:val="008A7570"/>
    <w:rsid w:val="008B1056"/>
    <w:rsid w:val="008B2CA2"/>
    <w:rsid w:val="008B6C37"/>
    <w:rsid w:val="008C1623"/>
    <w:rsid w:val="008C21BE"/>
    <w:rsid w:val="008C31AB"/>
    <w:rsid w:val="008C68FF"/>
    <w:rsid w:val="008D18EF"/>
    <w:rsid w:val="008D1FAA"/>
    <w:rsid w:val="008D2611"/>
    <w:rsid w:val="008D44D5"/>
    <w:rsid w:val="008D5A4B"/>
    <w:rsid w:val="008E03E7"/>
    <w:rsid w:val="008E04CC"/>
    <w:rsid w:val="008E2D98"/>
    <w:rsid w:val="008E4D48"/>
    <w:rsid w:val="008E59BF"/>
    <w:rsid w:val="008E6A40"/>
    <w:rsid w:val="008F0B73"/>
    <w:rsid w:val="008F6A58"/>
    <w:rsid w:val="008F6C52"/>
    <w:rsid w:val="008F7F22"/>
    <w:rsid w:val="00900D8B"/>
    <w:rsid w:val="00901CC9"/>
    <w:rsid w:val="00902B2A"/>
    <w:rsid w:val="00902C56"/>
    <w:rsid w:val="00903A24"/>
    <w:rsid w:val="00903AA9"/>
    <w:rsid w:val="009079C9"/>
    <w:rsid w:val="00907DE6"/>
    <w:rsid w:val="00913883"/>
    <w:rsid w:val="009143D2"/>
    <w:rsid w:val="00923C7E"/>
    <w:rsid w:val="00923FE2"/>
    <w:rsid w:val="0092634A"/>
    <w:rsid w:val="0093461E"/>
    <w:rsid w:val="009351CC"/>
    <w:rsid w:val="00942692"/>
    <w:rsid w:val="00943018"/>
    <w:rsid w:val="00943244"/>
    <w:rsid w:val="00945ACD"/>
    <w:rsid w:val="00946E27"/>
    <w:rsid w:val="00947B31"/>
    <w:rsid w:val="00947E95"/>
    <w:rsid w:val="009524E4"/>
    <w:rsid w:val="00952837"/>
    <w:rsid w:val="00953520"/>
    <w:rsid w:val="00954FAD"/>
    <w:rsid w:val="0096035E"/>
    <w:rsid w:val="0096267D"/>
    <w:rsid w:val="009649A5"/>
    <w:rsid w:val="00966A6A"/>
    <w:rsid w:val="00967410"/>
    <w:rsid w:val="00971D0A"/>
    <w:rsid w:val="00973F0C"/>
    <w:rsid w:val="00980D65"/>
    <w:rsid w:val="00983842"/>
    <w:rsid w:val="009872A3"/>
    <w:rsid w:val="0099168D"/>
    <w:rsid w:val="00995BC4"/>
    <w:rsid w:val="00996C30"/>
    <w:rsid w:val="0099711F"/>
    <w:rsid w:val="0099775E"/>
    <w:rsid w:val="009A004A"/>
    <w:rsid w:val="009A0E39"/>
    <w:rsid w:val="009A1932"/>
    <w:rsid w:val="009A23E2"/>
    <w:rsid w:val="009A26FB"/>
    <w:rsid w:val="009A6633"/>
    <w:rsid w:val="009B1394"/>
    <w:rsid w:val="009B17D8"/>
    <w:rsid w:val="009B21F6"/>
    <w:rsid w:val="009B3009"/>
    <w:rsid w:val="009B5478"/>
    <w:rsid w:val="009B753F"/>
    <w:rsid w:val="009B7E88"/>
    <w:rsid w:val="009C1CE1"/>
    <w:rsid w:val="009C3072"/>
    <w:rsid w:val="009D11EA"/>
    <w:rsid w:val="009D1A9B"/>
    <w:rsid w:val="009D3008"/>
    <w:rsid w:val="009D4A35"/>
    <w:rsid w:val="009D4AE3"/>
    <w:rsid w:val="009D4D48"/>
    <w:rsid w:val="009D5A10"/>
    <w:rsid w:val="009D7226"/>
    <w:rsid w:val="009E093D"/>
    <w:rsid w:val="009E14B1"/>
    <w:rsid w:val="009E3431"/>
    <w:rsid w:val="009E7064"/>
    <w:rsid w:val="009F004E"/>
    <w:rsid w:val="009F0A23"/>
    <w:rsid w:val="009F12D6"/>
    <w:rsid w:val="009F37A4"/>
    <w:rsid w:val="009F3D12"/>
    <w:rsid w:val="00A014F0"/>
    <w:rsid w:val="00A05976"/>
    <w:rsid w:val="00A117B7"/>
    <w:rsid w:val="00A122F5"/>
    <w:rsid w:val="00A13C93"/>
    <w:rsid w:val="00A14954"/>
    <w:rsid w:val="00A160DC"/>
    <w:rsid w:val="00A172F9"/>
    <w:rsid w:val="00A178B7"/>
    <w:rsid w:val="00A2485D"/>
    <w:rsid w:val="00A27537"/>
    <w:rsid w:val="00A27EA3"/>
    <w:rsid w:val="00A33699"/>
    <w:rsid w:val="00A33EDF"/>
    <w:rsid w:val="00A34081"/>
    <w:rsid w:val="00A363BF"/>
    <w:rsid w:val="00A36523"/>
    <w:rsid w:val="00A374BD"/>
    <w:rsid w:val="00A37589"/>
    <w:rsid w:val="00A42708"/>
    <w:rsid w:val="00A44554"/>
    <w:rsid w:val="00A446A3"/>
    <w:rsid w:val="00A45D6C"/>
    <w:rsid w:val="00A47A5F"/>
    <w:rsid w:val="00A5206F"/>
    <w:rsid w:val="00A52754"/>
    <w:rsid w:val="00A53729"/>
    <w:rsid w:val="00A601AA"/>
    <w:rsid w:val="00A6440D"/>
    <w:rsid w:val="00A67D97"/>
    <w:rsid w:val="00A72B8B"/>
    <w:rsid w:val="00A72E79"/>
    <w:rsid w:val="00A73D2A"/>
    <w:rsid w:val="00A7502D"/>
    <w:rsid w:val="00A80B85"/>
    <w:rsid w:val="00A81417"/>
    <w:rsid w:val="00A859C1"/>
    <w:rsid w:val="00A860D3"/>
    <w:rsid w:val="00A87416"/>
    <w:rsid w:val="00A87F70"/>
    <w:rsid w:val="00A90390"/>
    <w:rsid w:val="00A92FC7"/>
    <w:rsid w:val="00A944C8"/>
    <w:rsid w:val="00A9496E"/>
    <w:rsid w:val="00A950FF"/>
    <w:rsid w:val="00A9609F"/>
    <w:rsid w:val="00A965A2"/>
    <w:rsid w:val="00AA19C2"/>
    <w:rsid w:val="00AA1AA2"/>
    <w:rsid w:val="00AA1C46"/>
    <w:rsid w:val="00AA3AA4"/>
    <w:rsid w:val="00AA486A"/>
    <w:rsid w:val="00AA7414"/>
    <w:rsid w:val="00AB3146"/>
    <w:rsid w:val="00AB33D2"/>
    <w:rsid w:val="00AD0312"/>
    <w:rsid w:val="00AD06C5"/>
    <w:rsid w:val="00AE36C1"/>
    <w:rsid w:val="00AE5F65"/>
    <w:rsid w:val="00AE6839"/>
    <w:rsid w:val="00AE7CA2"/>
    <w:rsid w:val="00AF0C2E"/>
    <w:rsid w:val="00AF53A8"/>
    <w:rsid w:val="00AF550F"/>
    <w:rsid w:val="00AF5CA6"/>
    <w:rsid w:val="00B00164"/>
    <w:rsid w:val="00B0192F"/>
    <w:rsid w:val="00B0254D"/>
    <w:rsid w:val="00B0316A"/>
    <w:rsid w:val="00B037E1"/>
    <w:rsid w:val="00B04FF7"/>
    <w:rsid w:val="00B0636F"/>
    <w:rsid w:val="00B10AE2"/>
    <w:rsid w:val="00B13D84"/>
    <w:rsid w:val="00B26250"/>
    <w:rsid w:val="00B26804"/>
    <w:rsid w:val="00B324B7"/>
    <w:rsid w:val="00B32F84"/>
    <w:rsid w:val="00B35307"/>
    <w:rsid w:val="00B355CD"/>
    <w:rsid w:val="00B471EC"/>
    <w:rsid w:val="00B50DED"/>
    <w:rsid w:val="00B52195"/>
    <w:rsid w:val="00B52C93"/>
    <w:rsid w:val="00B53C62"/>
    <w:rsid w:val="00B55A66"/>
    <w:rsid w:val="00B62438"/>
    <w:rsid w:val="00B62FDC"/>
    <w:rsid w:val="00B671DE"/>
    <w:rsid w:val="00B711DF"/>
    <w:rsid w:val="00B7392F"/>
    <w:rsid w:val="00B75E5F"/>
    <w:rsid w:val="00B7648D"/>
    <w:rsid w:val="00B80ACF"/>
    <w:rsid w:val="00B82C3F"/>
    <w:rsid w:val="00B847A3"/>
    <w:rsid w:val="00B867B4"/>
    <w:rsid w:val="00B86ABC"/>
    <w:rsid w:val="00B871CE"/>
    <w:rsid w:val="00B91FBB"/>
    <w:rsid w:val="00B92379"/>
    <w:rsid w:val="00B96123"/>
    <w:rsid w:val="00B9743B"/>
    <w:rsid w:val="00BA2529"/>
    <w:rsid w:val="00BA4149"/>
    <w:rsid w:val="00BA63D0"/>
    <w:rsid w:val="00BA6437"/>
    <w:rsid w:val="00BA6F24"/>
    <w:rsid w:val="00BB0269"/>
    <w:rsid w:val="00BB2AFA"/>
    <w:rsid w:val="00BB2D85"/>
    <w:rsid w:val="00BB3A89"/>
    <w:rsid w:val="00BB3F36"/>
    <w:rsid w:val="00BC0FF7"/>
    <w:rsid w:val="00BD1343"/>
    <w:rsid w:val="00BD171A"/>
    <w:rsid w:val="00BD43C3"/>
    <w:rsid w:val="00BD4AD7"/>
    <w:rsid w:val="00BD73EB"/>
    <w:rsid w:val="00BE13D5"/>
    <w:rsid w:val="00BE45D5"/>
    <w:rsid w:val="00BF0C45"/>
    <w:rsid w:val="00BF1EAC"/>
    <w:rsid w:val="00BF2FEF"/>
    <w:rsid w:val="00BF4709"/>
    <w:rsid w:val="00BF53FF"/>
    <w:rsid w:val="00C00317"/>
    <w:rsid w:val="00C0115C"/>
    <w:rsid w:val="00C01DDF"/>
    <w:rsid w:val="00C04D27"/>
    <w:rsid w:val="00C06DB4"/>
    <w:rsid w:val="00C10F52"/>
    <w:rsid w:val="00C1158C"/>
    <w:rsid w:val="00C12240"/>
    <w:rsid w:val="00C1274E"/>
    <w:rsid w:val="00C12CEC"/>
    <w:rsid w:val="00C12D1E"/>
    <w:rsid w:val="00C141E2"/>
    <w:rsid w:val="00C20740"/>
    <w:rsid w:val="00C23A65"/>
    <w:rsid w:val="00C31DEC"/>
    <w:rsid w:val="00C32EC1"/>
    <w:rsid w:val="00C34279"/>
    <w:rsid w:val="00C352AC"/>
    <w:rsid w:val="00C4059E"/>
    <w:rsid w:val="00C4112C"/>
    <w:rsid w:val="00C44CEF"/>
    <w:rsid w:val="00C46D47"/>
    <w:rsid w:val="00C47309"/>
    <w:rsid w:val="00C47330"/>
    <w:rsid w:val="00C510D9"/>
    <w:rsid w:val="00C521B6"/>
    <w:rsid w:val="00C5547D"/>
    <w:rsid w:val="00C55509"/>
    <w:rsid w:val="00C560B8"/>
    <w:rsid w:val="00C60FF1"/>
    <w:rsid w:val="00C61B15"/>
    <w:rsid w:val="00C61B1F"/>
    <w:rsid w:val="00C6200A"/>
    <w:rsid w:val="00C66F90"/>
    <w:rsid w:val="00C67329"/>
    <w:rsid w:val="00C717E1"/>
    <w:rsid w:val="00C755EF"/>
    <w:rsid w:val="00C83BD8"/>
    <w:rsid w:val="00C83D5E"/>
    <w:rsid w:val="00C936F6"/>
    <w:rsid w:val="00C96E2E"/>
    <w:rsid w:val="00C978CF"/>
    <w:rsid w:val="00C97D00"/>
    <w:rsid w:val="00CA03D5"/>
    <w:rsid w:val="00CA1BC3"/>
    <w:rsid w:val="00CA25C9"/>
    <w:rsid w:val="00CA3444"/>
    <w:rsid w:val="00CA6A29"/>
    <w:rsid w:val="00CB2709"/>
    <w:rsid w:val="00CB2E3D"/>
    <w:rsid w:val="00CC00D0"/>
    <w:rsid w:val="00CC100F"/>
    <w:rsid w:val="00CC1B60"/>
    <w:rsid w:val="00CC4332"/>
    <w:rsid w:val="00CC451E"/>
    <w:rsid w:val="00CC4759"/>
    <w:rsid w:val="00CC59E7"/>
    <w:rsid w:val="00CC65D4"/>
    <w:rsid w:val="00CC7C0D"/>
    <w:rsid w:val="00CD05C9"/>
    <w:rsid w:val="00CD2A64"/>
    <w:rsid w:val="00CD2B25"/>
    <w:rsid w:val="00CD2F20"/>
    <w:rsid w:val="00CD7F89"/>
    <w:rsid w:val="00CE0842"/>
    <w:rsid w:val="00CE4072"/>
    <w:rsid w:val="00CE7052"/>
    <w:rsid w:val="00CF1945"/>
    <w:rsid w:val="00CF1A4D"/>
    <w:rsid w:val="00CF3066"/>
    <w:rsid w:val="00CF4074"/>
    <w:rsid w:val="00CF620A"/>
    <w:rsid w:val="00CF6829"/>
    <w:rsid w:val="00D004BA"/>
    <w:rsid w:val="00D01861"/>
    <w:rsid w:val="00D0474F"/>
    <w:rsid w:val="00D04C9A"/>
    <w:rsid w:val="00D0546B"/>
    <w:rsid w:val="00D07C09"/>
    <w:rsid w:val="00D10400"/>
    <w:rsid w:val="00D10A2B"/>
    <w:rsid w:val="00D127A7"/>
    <w:rsid w:val="00D14549"/>
    <w:rsid w:val="00D154D6"/>
    <w:rsid w:val="00D205DE"/>
    <w:rsid w:val="00D3051A"/>
    <w:rsid w:val="00D31511"/>
    <w:rsid w:val="00D3335F"/>
    <w:rsid w:val="00D33561"/>
    <w:rsid w:val="00D3384D"/>
    <w:rsid w:val="00D4479D"/>
    <w:rsid w:val="00D45A98"/>
    <w:rsid w:val="00D46121"/>
    <w:rsid w:val="00D473A5"/>
    <w:rsid w:val="00D5004C"/>
    <w:rsid w:val="00D50AE3"/>
    <w:rsid w:val="00D525C8"/>
    <w:rsid w:val="00D5446A"/>
    <w:rsid w:val="00D555F9"/>
    <w:rsid w:val="00D56806"/>
    <w:rsid w:val="00D56E8A"/>
    <w:rsid w:val="00D61DD0"/>
    <w:rsid w:val="00D648DC"/>
    <w:rsid w:val="00D66B07"/>
    <w:rsid w:val="00D72017"/>
    <w:rsid w:val="00D76017"/>
    <w:rsid w:val="00D77F8A"/>
    <w:rsid w:val="00D83292"/>
    <w:rsid w:val="00D87973"/>
    <w:rsid w:val="00D87A73"/>
    <w:rsid w:val="00D87E97"/>
    <w:rsid w:val="00D90D82"/>
    <w:rsid w:val="00D90E04"/>
    <w:rsid w:val="00D93890"/>
    <w:rsid w:val="00D9456D"/>
    <w:rsid w:val="00D9685B"/>
    <w:rsid w:val="00D97141"/>
    <w:rsid w:val="00D97D1B"/>
    <w:rsid w:val="00DA1415"/>
    <w:rsid w:val="00DA2CC7"/>
    <w:rsid w:val="00DA337E"/>
    <w:rsid w:val="00DA39B3"/>
    <w:rsid w:val="00DA425D"/>
    <w:rsid w:val="00DA4315"/>
    <w:rsid w:val="00DA66CB"/>
    <w:rsid w:val="00DA742A"/>
    <w:rsid w:val="00DB0AE9"/>
    <w:rsid w:val="00DB1ADD"/>
    <w:rsid w:val="00DB2D61"/>
    <w:rsid w:val="00DB47AB"/>
    <w:rsid w:val="00DB57AA"/>
    <w:rsid w:val="00DB5D17"/>
    <w:rsid w:val="00DB66CB"/>
    <w:rsid w:val="00DC3B11"/>
    <w:rsid w:val="00DC77D5"/>
    <w:rsid w:val="00DD0421"/>
    <w:rsid w:val="00DD260C"/>
    <w:rsid w:val="00DD3688"/>
    <w:rsid w:val="00DD3C65"/>
    <w:rsid w:val="00DD4375"/>
    <w:rsid w:val="00DD53E1"/>
    <w:rsid w:val="00DD5707"/>
    <w:rsid w:val="00DE1D47"/>
    <w:rsid w:val="00DE58D6"/>
    <w:rsid w:val="00DE7CD2"/>
    <w:rsid w:val="00E0070F"/>
    <w:rsid w:val="00E008BD"/>
    <w:rsid w:val="00E12143"/>
    <w:rsid w:val="00E15668"/>
    <w:rsid w:val="00E20F80"/>
    <w:rsid w:val="00E25BE3"/>
    <w:rsid w:val="00E3413B"/>
    <w:rsid w:val="00E41AE4"/>
    <w:rsid w:val="00E43370"/>
    <w:rsid w:val="00E468C9"/>
    <w:rsid w:val="00E504C2"/>
    <w:rsid w:val="00E5166E"/>
    <w:rsid w:val="00E52978"/>
    <w:rsid w:val="00E56E88"/>
    <w:rsid w:val="00E611E8"/>
    <w:rsid w:val="00E619D4"/>
    <w:rsid w:val="00E6294E"/>
    <w:rsid w:val="00E62F07"/>
    <w:rsid w:val="00E655BD"/>
    <w:rsid w:val="00E65CFD"/>
    <w:rsid w:val="00E71C1A"/>
    <w:rsid w:val="00E72FD7"/>
    <w:rsid w:val="00E76B92"/>
    <w:rsid w:val="00E85F98"/>
    <w:rsid w:val="00E86AE0"/>
    <w:rsid w:val="00E877F2"/>
    <w:rsid w:val="00E95068"/>
    <w:rsid w:val="00E9517D"/>
    <w:rsid w:val="00E965E6"/>
    <w:rsid w:val="00E96D57"/>
    <w:rsid w:val="00EA0C90"/>
    <w:rsid w:val="00EA1909"/>
    <w:rsid w:val="00EA20B9"/>
    <w:rsid w:val="00EA31E7"/>
    <w:rsid w:val="00EA3E44"/>
    <w:rsid w:val="00EA3EFD"/>
    <w:rsid w:val="00EA4D72"/>
    <w:rsid w:val="00EA5C78"/>
    <w:rsid w:val="00EA6B1E"/>
    <w:rsid w:val="00EB503E"/>
    <w:rsid w:val="00EB5958"/>
    <w:rsid w:val="00EC015A"/>
    <w:rsid w:val="00EC037F"/>
    <w:rsid w:val="00EC25B9"/>
    <w:rsid w:val="00EC680B"/>
    <w:rsid w:val="00EC6BCB"/>
    <w:rsid w:val="00ED0000"/>
    <w:rsid w:val="00ED3B72"/>
    <w:rsid w:val="00ED6A64"/>
    <w:rsid w:val="00EE1A25"/>
    <w:rsid w:val="00EE26AE"/>
    <w:rsid w:val="00EE7300"/>
    <w:rsid w:val="00EE773F"/>
    <w:rsid w:val="00EF15C3"/>
    <w:rsid w:val="00EF1E1B"/>
    <w:rsid w:val="00EF248D"/>
    <w:rsid w:val="00EF310A"/>
    <w:rsid w:val="00EF36B1"/>
    <w:rsid w:val="00EF3A29"/>
    <w:rsid w:val="00F000B3"/>
    <w:rsid w:val="00F00A60"/>
    <w:rsid w:val="00F03081"/>
    <w:rsid w:val="00F075B6"/>
    <w:rsid w:val="00F07C88"/>
    <w:rsid w:val="00F10012"/>
    <w:rsid w:val="00F10A44"/>
    <w:rsid w:val="00F11318"/>
    <w:rsid w:val="00F11C25"/>
    <w:rsid w:val="00F13AAA"/>
    <w:rsid w:val="00F20764"/>
    <w:rsid w:val="00F21373"/>
    <w:rsid w:val="00F21E80"/>
    <w:rsid w:val="00F22473"/>
    <w:rsid w:val="00F224CB"/>
    <w:rsid w:val="00F22997"/>
    <w:rsid w:val="00F22D56"/>
    <w:rsid w:val="00F22EED"/>
    <w:rsid w:val="00F24795"/>
    <w:rsid w:val="00F24A21"/>
    <w:rsid w:val="00F264A2"/>
    <w:rsid w:val="00F268D7"/>
    <w:rsid w:val="00F30211"/>
    <w:rsid w:val="00F31997"/>
    <w:rsid w:val="00F3351A"/>
    <w:rsid w:val="00F33BB9"/>
    <w:rsid w:val="00F355DD"/>
    <w:rsid w:val="00F364FD"/>
    <w:rsid w:val="00F409A3"/>
    <w:rsid w:val="00F44F0E"/>
    <w:rsid w:val="00F47EB2"/>
    <w:rsid w:val="00F514B5"/>
    <w:rsid w:val="00F5784A"/>
    <w:rsid w:val="00F57C7F"/>
    <w:rsid w:val="00F654B0"/>
    <w:rsid w:val="00F657B1"/>
    <w:rsid w:val="00F722A1"/>
    <w:rsid w:val="00F73855"/>
    <w:rsid w:val="00F73E5C"/>
    <w:rsid w:val="00F740D3"/>
    <w:rsid w:val="00F80A9E"/>
    <w:rsid w:val="00F82626"/>
    <w:rsid w:val="00F877D4"/>
    <w:rsid w:val="00F87A06"/>
    <w:rsid w:val="00F9220A"/>
    <w:rsid w:val="00F93BB7"/>
    <w:rsid w:val="00F94156"/>
    <w:rsid w:val="00F95A5D"/>
    <w:rsid w:val="00F968F5"/>
    <w:rsid w:val="00F96951"/>
    <w:rsid w:val="00F96A19"/>
    <w:rsid w:val="00F9737F"/>
    <w:rsid w:val="00F97F38"/>
    <w:rsid w:val="00FA0EB4"/>
    <w:rsid w:val="00FA13DB"/>
    <w:rsid w:val="00FA3E0B"/>
    <w:rsid w:val="00FA56B9"/>
    <w:rsid w:val="00FA6800"/>
    <w:rsid w:val="00FA7807"/>
    <w:rsid w:val="00FB36F9"/>
    <w:rsid w:val="00FB74D1"/>
    <w:rsid w:val="00FC0E41"/>
    <w:rsid w:val="00FC5156"/>
    <w:rsid w:val="00FC5423"/>
    <w:rsid w:val="00FD3983"/>
    <w:rsid w:val="00FD40AF"/>
    <w:rsid w:val="00FD42E1"/>
    <w:rsid w:val="00FD5783"/>
    <w:rsid w:val="00FD59F7"/>
    <w:rsid w:val="00FD5F8C"/>
    <w:rsid w:val="00FD7B20"/>
    <w:rsid w:val="00FE0158"/>
    <w:rsid w:val="00FE2D83"/>
    <w:rsid w:val="00FE5080"/>
    <w:rsid w:val="00FF73E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F67A497"/>
  <w15:docId w15:val="{DC3E07D7-5F4B-4A6C-90A5-348C880D2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CA3444"/>
    <w:pPr>
      <w:keepNext/>
      <w:keepLines/>
      <w:spacing w:after="120" w:line="240" w:lineRule="auto"/>
      <w:outlineLvl w:val="0"/>
    </w:pPr>
    <w:rPr>
      <w:rFonts w:asciiTheme="majorHAnsi" w:eastAsiaTheme="majorEastAsia" w:hAnsiTheme="majorHAnsi" w:cstheme="majorBidi"/>
      <w:b/>
      <w:bCs/>
      <w:color w:val="000000" w:themeColor="text1"/>
      <w:sz w:val="28"/>
      <w:szCs w:val="28"/>
      <w:lang w:eastAsia="da-DK"/>
    </w:rPr>
  </w:style>
  <w:style w:type="paragraph" w:styleId="Overskrift2">
    <w:name w:val="heading 2"/>
    <w:basedOn w:val="Normal"/>
    <w:next w:val="Normal"/>
    <w:link w:val="Overskrift2Tegn"/>
    <w:uiPriority w:val="9"/>
    <w:unhideWhenUsed/>
    <w:qFormat/>
    <w:rsid w:val="00CA3444"/>
    <w:pPr>
      <w:keepNext/>
      <w:keepLines/>
      <w:spacing w:before="120" w:after="120" w:line="240" w:lineRule="auto"/>
      <w:outlineLvl w:val="1"/>
    </w:pPr>
    <w:rPr>
      <w:rFonts w:asciiTheme="majorHAnsi" w:eastAsiaTheme="majorEastAsia" w:hAnsiTheme="majorHAnsi" w:cstheme="majorBidi"/>
      <w:b/>
      <w:bCs/>
      <w:sz w:val="26"/>
      <w:szCs w:val="26"/>
    </w:rPr>
  </w:style>
  <w:style w:type="paragraph" w:styleId="Overskrift3">
    <w:name w:val="heading 3"/>
    <w:basedOn w:val="Normal"/>
    <w:next w:val="Normal"/>
    <w:link w:val="Overskrift3Tegn"/>
    <w:uiPriority w:val="9"/>
    <w:unhideWhenUsed/>
    <w:qFormat/>
    <w:rsid w:val="001C0F8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125D6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tab-span">
    <w:name w:val="apple-tab-span"/>
    <w:basedOn w:val="Standardskrifttypeiafsnit"/>
    <w:rsid w:val="00125D6A"/>
  </w:style>
  <w:style w:type="paragraph" w:styleId="Sidehoved">
    <w:name w:val="header"/>
    <w:basedOn w:val="Normal"/>
    <w:link w:val="SidehovedTegn"/>
    <w:uiPriority w:val="99"/>
    <w:unhideWhenUsed/>
    <w:rsid w:val="00EA3E4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A3E44"/>
  </w:style>
  <w:style w:type="paragraph" w:styleId="Sidefod">
    <w:name w:val="footer"/>
    <w:basedOn w:val="Normal"/>
    <w:link w:val="SidefodTegn"/>
    <w:uiPriority w:val="99"/>
    <w:unhideWhenUsed/>
    <w:rsid w:val="00EA3E4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A3E44"/>
  </w:style>
  <w:style w:type="character" w:styleId="Strk">
    <w:name w:val="Strong"/>
    <w:basedOn w:val="Standardskrifttypeiafsnit"/>
    <w:uiPriority w:val="22"/>
    <w:qFormat/>
    <w:rsid w:val="00C352AC"/>
    <w:rPr>
      <w:b/>
      <w:bCs/>
    </w:rPr>
  </w:style>
  <w:style w:type="paragraph" w:styleId="Listeafsnit">
    <w:name w:val="List Paragraph"/>
    <w:basedOn w:val="Normal"/>
    <w:uiPriority w:val="34"/>
    <w:qFormat/>
    <w:rsid w:val="002660F7"/>
    <w:pPr>
      <w:ind w:left="720"/>
      <w:contextualSpacing/>
    </w:pPr>
  </w:style>
  <w:style w:type="paragraph" w:styleId="Markeringsbobletekst">
    <w:name w:val="Balloon Text"/>
    <w:basedOn w:val="Normal"/>
    <w:link w:val="MarkeringsbobletekstTegn"/>
    <w:uiPriority w:val="99"/>
    <w:semiHidden/>
    <w:unhideWhenUsed/>
    <w:rsid w:val="009C1CE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C1CE1"/>
    <w:rPr>
      <w:rFonts w:ascii="Tahoma" w:hAnsi="Tahoma" w:cs="Tahoma"/>
      <w:sz w:val="16"/>
      <w:szCs w:val="16"/>
    </w:rPr>
  </w:style>
  <w:style w:type="character" w:customStyle="1" w:styleId="Overskrift1Tegn">
    <w:name w:val="Overskrift 1 Tegn"/>
    <w:basedOn w:val="Standardskrifttypeiafsnit"/>
    <w:link w:val="Overskrift1"/>
    <w:uiPriority w:val="9"/>
    <w:rsid w:val="00CA3444"/>
    <w:rPr>
      <w:rFonts w:asciiTheme="majorHAnsi" w:eastAsiaTheme="majorEastAsia" w:hAnsiTheme="majorHAnsi" w:cstheme="majorBidi"/>
      <w:b/>
      <w:bCs/>
      <w:color w:val="000000" w:themeColor="text1"/>
      <w:sz w:val="28"/>
      <w:szCs w:val="28"/>
      <w:lang w:eastAsia="da-DK"/>
    </w:rPr>
  </w:style>
  <w:style w:type="character" w:styleId="Kommentarhenvisning">
    <w:name w:val="annotation reference"/>
    <w:basedOn w:val="Standardskrifttypeiafsnit"/>
    <w:uiPriority w:val="99"/>
    <w:semiHidden/>
    <w:unhideWhenUsed/>
    <w:rsid w:val="00F22D56"/>
    <w:rPr>
      <w:sz w:val="16"/>
      <w:szCs w:val="16"/>
    </w:rPr>
  </w:style>
  <w:style w:type="paragraph" w:styleId="Kommentartekst">
    <w:name w:val="annotation text"/>
    <w:basedOn w:val="Normal"/>
    <w:link w:val="KommentartekstTegn"/>
    <w:uiPriority w:val="99"/>
    <w:unhideWhenUsed/>
    <w:rsid w:val="00F22D56"/>
    <w:pPr>
      <w:spacing w:line="240" w:lineRule="auto"/>
    </w:pPr>
    <w:rPr>
      <w:sz w:val="20"/>
      <w:szCs w:val="20"/>
    </w:rPr>
  </w:style>
  <w:style w:type="character" w:customStyle="1" w:styleId="KommentartekstTegn">
    <w:name w:val="Kommentartekst Tegn"/>
    <w:basedOn w:val="Standardskrifttypeiafsnit"/>
    <w:link w:val="Kommentartekst"/>
    <w:uiPriority w:val="99"/>
    <w:rsid w:val="00F22D56"/>
    <w:rPr>
      <w:sz w:val="20"/>
      <w:szCs w:val="20"/>
    </w:rPr>
  </w:style>
  <w:style w:type="paragraph" w:styleId="Kommentaremne">
    <w:name w:val="annotation subject"/>
    <w:basedOn w:val="Kommentartekst"/>
    <w:next w:val="Kommentartekst"/>
    <w:link w:val="KommentaremneTegn"/>
    <w:uiPriority w:val="99"/>
    <w:semiHidden/>
    <w:unhideWhenUsed/>
    <w:rsid w:val="00F22D56"/>
    <w:rPr>
      <w:b/>
      <w:bCs/>
    </w:rPr>
  </w:style>
  <w:style w:type="character" w:customStyle="1" w:styleId="KommentaremneTegn">
    <w:name w:val="Kommentaremne Tegn"/>
    <w:basedOn w:val="KommentartekstTegn"/>
    <w:link w:val="Kommentaremne"/>
    <w:uiPriority w:val="99"/>
    <w:semiHidden/>
    <w:rsid w:val="00F22D56"/>
    <w:rPr>
      <w:b/>
      <w:bCs/>
      <w:sz w:val="20"/>
      <w:szCs w:val="20"/>
    </w:rPr>
  </w:style>
  <w:style w:type="character" w:styleId="Hyperlink">
    <w:name w:val="Hyperlink"/>
    <w:basedOn w:val="Standardskrifttypeiafsnit"/>
    <w:uiPriority w:val="99"/>
    <w:unhideWhenUsed/>
    <w:rsid w:val="007376BE"/>
    <w:rPr>
      <w:color w:val="0000FF"/>
      <w:u w:val="single"/>
    </w:rPr>
  </w:style>
  <w:style w:type="character" w:styleId="BesgtLink">
    <w:name w:val="FollowedHyperlink"/>
    <w:basedOn w:val="Standardskrifttypeiafsnit"/>
    <w:uiPriority w:val="99"/>
    <w:semiHidden/>
    <w:unhideWhenUsed/>
    <w:rsid w:val="00D3384D"/>
    <w:rPr>
      <w:color w:val="800080" w:themeColor="followedHyperlink"/>
      <w:u w:val="single"/>
    </w:rPr>
  </w:style>
  <w:style w:type="character" w:customStyle="1" w:styleId="Overskrift2Tegn">
    <w:name w:val="Overskrift 2 Tegn"/>
    <w:basedOn w:val="Standardskrifttypeiafsnit"/>
    <w:link w:val="Overskrift2"/>
    <w:uiPriority w:val="9"/>
    <w:rsid w:val="00CA3444"/>
    <w:rPr>
      <w:rFonts w:asciiTheme="majorHAnsi" w:eastAsiaTheme="majorEastAsia" w:hAnsiTheme="majorHAnsi" w:cstheme="majorBidi"/>
      <w:b/>
      <w:bCs/>
      <w:sz w:val="26"/>
      <w:szCs w:val="26"/>
    </w:rPr>
  </w:style>
  <w:style w:type="table" w:styleId="Tabel-Gitter">
    <w:name w:val="Table Grid"/>
    <w:basedOn w:val="Tabel-Normal"/>
    <w:uiPriority w:val="59"/>
    <w:rsid w:val="00476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rrektur">
    <w:name w:val="Revision"/>
    <w:hidden/>
    <w:uiPriority w:val="99"/>
    <w:semiHidden/>
    <w:rsid w:val="00BC0FF7"/>
    <w:pPr>
      <w:spacing w:after="0" w:line="240" w:lineRule="auto"/>
    </w:pPr>
  </w:style>
  <w:style w:type="paragraph" w:styleId="Almindeligtekst">
    <w:name w:val="Plain Text"/>
    <w:basedOn w:val="Normal"/>
    <w:link w:val="AlmindeligtekstTegn"/>
    <w:uiPriority w:val="99"/>
    <w:semiHidden/>
    <w:unhideWhenUsed/>
    <w:rsid w:val="00D9685B"/>
    <w:pPr>
      <w:spacing w:after="0" w:line="240" w:lineRule="auto"/>
    </w:pPr>
    <w:rPr>
      <w:rFonts w:ascii="Calibri" w:hAnsi="Calibri"/>
      <w:szCs w:val="21"/>
    </w:rPr>
  </w:style>
  <w:style w:type="character" w:customStyle="1" w:styleId="AlmindeligtekstTegn">
    <w:name w:val="Almindelig tekst Tegn"/>
    <w:basedOn w:val="Standardskrifttypeiafsnit"/>
    <w:link w:val="Almindeligtekst"/>
    <w:uiPriority w:val="99"/>
    <w:semiHidden/>
    <w:rsid w:val="00D9685B"/>
    <w:rPr>
      <w:rFonts w:ascii="Calibri" w:hAnsi="Calibri"/>
      <w:szCs w:val="21"/>
    </w:rPr>
  </w:style>
  <w:style w:type="paragraph" w:styleId="Overskrift">
    <w:name w:val="TOC Heading"/>
    <w:basedOn w:val="Overskrift1"/>
    <w:next w:val="Normal"/>
    <w:uiPriority w:val="39"/>
    <w:unhideWhenUsed/>
    <w:qFormat/>
    <w:rsid w:val="00980D65"/>
    <w:pPr>
      <w:spacing w:before="240" w:line="259" w:lineRule="auto"/>
      <w:outlineLvl w:val="9"/>
    </w:pPr>
    <w:rPr>
      <w:b w:val="0"/>
      <w:bCs w:val="0"/>
      <w:sz w:val="32"/>
      <w:szCs w:val="32"/>
    </w:rPr>
  </w:style>
  <w:style w:type="paragraph" w:styleId="Indholdsfortegnelse2">
    <w:name w:val="toc 2"/>
    <w:basedOn w:val="Normal"/>
    <w:next w:val="Normal"/>
    <w:autoRedefine/>
    <w:uiPriority w:val="39"/>
    <w:unhideWhenUsed/>
    <w:rsid w:val="0096267D"/>
    <w:pPr>
      <w:tabs>
        <w:tab w:val="right" w:leader="dot" w:pos="9628"/>
      </w:tabs>
      <w:spacing w:after="100"/>
      <w:ind w:left="220"/>
    </w:pPr>
  </w:style>
  <w:style w:type="paragraph" w:styleId="Indholdsfortegnelse1">
    <w:name w:val="toc 1"/>
    <w:basedOn w:val="Normal"/>
    <w:next w:val="Normal"/>
    <w:autoRedefine/>
    <w:uiPriority w:val="39"/>
    <w:unhideWhenUsed/>
    <w:rsid w:val="0096267D"/>
    <w:pPr>
      <w:tabs>
        <w:tab w:val="right" w:leader="dot" w:pos="9628"/>
      </w:tabs>
      <w:spacing w:after="100"/>
    </w:pPr>
  </w:style>
  <w:style w:type="character" w:customStyle="1" w:styleId="Overskrift3Tegn">
    <w:name w:val="Overskrift 3 Tegn"/>
    <w:basedOn w:val="Standardskrifttypeiafsnit"/>
    <w:link w:val="Overskrift3"/>
    <w:uiPriority w:val="9"/>
    <w:rsid w:val="001C0F8B"/>
    <w:rPr>
      <w:rFonts w:asciiTheme="majorHAnsi" w:eastAsiaTheme="majorEastAsia" w:hAnsiTheme="majorHAnsi" w:cstheme="majorBidi"/>
      <w:color w:val="243F60" w:themeColor="accent1" w:themeShade="7F"/>
      <w:sz w:val="24"/>
      <w:szCs w:val="24"/>
    </w:rPr>
  </w:style>
  <w:style w:type="paragraph" w:styleId="Indholdsfortegnelse3">
    <w:name w:val="toc 3"/>
    <w:basedOn w:val="Normal"/>
    <w:next w:val="Normal"/>
    <w:autoRedefine/>
    <w:uiPriority w:val="39"/>
    <w:unhideWhenUsed/>
    <w:rsid w:val="00CD2F20"/>
    <w:pPr>
      <w:tabs>
        <w:tab w:val="right" w:leader="dot" w:pos="9628"/>
      </w:tabs>
      <w:spacing w:after="100"/>
      <w:ind w:left="440"/>
    </w:pPr>
  </w:style>
  <w:style w:type="character" w:customStyle="1" w:styleId="Ulstomtale1">
    <w:name w:val="Uløst omtale1"/>
    <w:basedOn w:val="Standardskrifttypeiafsnit"/>
    <w:uiPriority w:val="99"/>
    <w:semiHidden/>
    <w:unhideWhenUsed/>
    <w:rsid w:val="00417594"/>
    <w:rPr>
      <w:color w:val="605E5C"/>
      <w:shd w:val="clear" w:color="auto" w:fill="E1DFDD"/>
    </w:rPr>
  </w:style>
  <w:style w:type="character" w:customStyle="1" w:styleId="Dato1">
    <w:name w:val="Dato1"/>
    <w:basedOn w:val="Standardskrifttypeiafsnit"/>
    <w:rsid w:val="00A44554"/>
  </w:style>
  <w:style w:type="paragraph" w:customStyle="1" w:styleId="Standard">
    <w:name w:val="Standard"/>
    <w:rsid w:val="00F57C7F"/>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p1">
    <w:name w:val="p1"/>
    <w:basedOn w:val="Normal"/>
    <w:rsid w:val="006D2419"/>
    <w:pPr>
      <w:spacing w:before="100" w:beforeAutospacing="1" w:after="100" w:afterAutospacing="1" w:line="240" w:lineRule="auto"/>
    </w:pPr>
    <w:rPr>
      <w:rFonts w:ascii="Times New Roman" w:hAnsi="Times New Roman" w:cs="Times New Roman"/>
      <w:sz w:val="24"/>
      <w:szCs w:val="24"/>
      <w:lang w:eastAsia="da-DK"/>
    </w:rPr>
  </w:style>
  <w:style w:type="paragraph" w:customStyle="1" w:styleId="p2">
    <w:name w:val="p2"/>
    <w:basedOn w:val="Normal"/>
    <w:rsid w:val="006D2419"/>
    <w:pPr>
      <w:spacing w:before="100" w:beforeAutospacing="1" w:after="100" w:afterAutospacing="1" w:line="240" w:lineRule="auto"/>
    </w:pPr>
    <w:rPr>
      <w:rFonts w:ascii="Times New Roman" w:hAnsi="Times New Roman" w:cs="Times New Roman"/>
      <w:sz w:val="24"/>
      <w:szCs w:val="24"/>
      <w:lang w:eastAsia="da-DK"/>
    </w:rPr>
  </w:style>
  <w:style w:type="character" w:customStyle="1" w:styleId="s1">
    <w:name w:val="s1"/>
    <w:basedOn w:val="Standardskrifttypeiafsnit"/>
    <w:rsid w:val="006D2419"/>
  </w:style>
  <w:style w:type="character" w:customStyle="1" w:styleId="s2">
    <w:name w:val="s2"/>
    <w:basedOn w:val="Standardskrifttypeiafsnit"/>
    <w:rsid w:val="006D2419"/>
  </w:style>
  <w:style w:type="character" w:customStyle="1" w:styleId="apple-converted-space">
    <w:name w:val="apple-converted-space"/>
    <w:basedOn w:val="Standardskrifttypeiafsnit"/>
    <w:rsid w:val="006D2419"/>
  </w:style>
  <w:style w:type="paragraph" w:customStyle="1" w:styleId="c-article-info-details">
    <w:name w:val="c-article-info-details"/>
    <w:basedOn w:val="Normal"/>
    <w:rsid w:val="0018695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u-visually-hidden">
    <w:name w:val="u-visually-hidden"/>
    <w:basedOn w:val="Standardskrifttypeiafsnit"/>
    <w:rsid w:val="00186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99217">
      <w:bodyDiv w:val="1"/>
      <w:marLeft w:val="0"/>
      <w:marRight w:val="0"/>
      <w:marTop w:val="0"/>
      <w:marBottom w:val="0"/>
      <w:divBdr>
        <w:top w:val="none" w:sz="0" w:space="0" w:color="auto"/>
        <w:left w:val="none" w:sz="0" w:space="0" w:color="auto"/>
        <w:bottom w:val="none" w:sz="0" w:space="0" w:color="auto"/>
        <w:right w:val="none" w:sz="0" w:space="0" w:color="auto"/>
      </w:divBdr>
    </w:div>
    <w:div w:id="208615382">
      <w:bodyDiv w:val="1"/>
      <w:marLeft w:val="0"/>
      <w:marRight w:val="0"/>
      <w:marTop w:val="0"/>
      <w:marBottom w:val="0"/>
      <w:divBdr>
        <w:top w:val="none" w:sz="0" w:space="0" w:color="auto"/>
        <w:left w:val="none" w:sz="0" w:space="0" w:color="auto"/>
        <w:bottom w:val="none" w:sz="0" w:space="0" w:color="auto"/>
        <w:right w:val="none" w:sz="0" w:space="0" w:color="auto"/>
      </w:divBdr>
    </w:div>
    <w:div w:id="221252375">
      <w:bodyDiv w:val="1"/>
      <w:marLeft w:val="0"/>
      <w:marRight w:val="0"/>
      <w:marTop w:val="0"/>
      <w:marBottom w:val="0"/>
      <w:divBdr>
        <w:top w:val="none" w:sz="0" w:space="0" w:color="auto"/>
        <w:left w:val="none" w:sz="0" w:space="0" w:color="auto"/>
        <w:bottom w:val="none" w:sz="0" w:space="0" w:color="auto"/>
        <w:right w:val="none" w:sz="0" w:space="0" w:color="auto"/>
      </w:divBdr>
    </w:div>
    <w:div w:id="381833303">
      <w:bodyDiv w:val="1"/>
      <w:marLeft w:val="0"/>
      <w:marRight w:val="0"/>
      <w:marTop w:val="0"/>
      <w:marBottom w:val="0"/>
      <w:divBdr>
        <w:top w:val="none" w:sz="0" w:space="0" w:color="auto"/>
        <w:left w:val="none" w:sz="0" w:space="0" w:color="auto"/>
        <w:bottom w:val="none" w:sz="0" w:space="0" w:color="auto"/>
        <w:right w:val="none" w:sz="0" w:space="0" w:color="auto"/>
      </w:divBdr>
    </w:div>
    <w:div w:id="397753176">
      <w:bodyDiv w:val="1"/>
      <w:marLeft w:val="0"/>
      <w:marRight w:val="0"/>
      <w:marTop w:val="0"/>
      <w:marBottom w:val="0"/>
      <w:divBdr>
        <w:top w:val="none" w:sz="0" w:space="0" w:color="auto"/>
        <w:left w:val="none" w:sz="0" w:space="0" w:color="auto"/>
        <w:bottom w:val="none" w:sz="0" w:space="0" w:color="auto"/>
        <w:right w:val="none" w:sz="0" w:space="0" w:color="auto"/>
      </w:divBdr>
    </w:div>
    <w:div w:id="502361364">
      <w:bodyDiv w:val="1"/>
      <w:marLeft w:val="0"/>
      <w:marRight w:val="0"/>
      <w:marTop w:val="0"/>
      <w:marBottom w:val="0"/>
      <w:divBdr>
        <w:top w:val="none" w:sz="0" w:space="0" w:color="auto"/>
        <w:left w:val="none" w:sz="0" w:space="0" w:color="auto"/>
        <w:bottom w:val="none" w:sz="0" w:space="0" w:color="auto"/>
        <w:right w:val="none" w:sz="0" w:space="0" w:color="auto"/>
      </w:divBdr>
    </w:div>
    <w:div w:id="545482691">
      <w:bodyDiv w:val="1"/>
      <w:marLeft w:val="0"/>
      <w:marRight w:val="0"/>
      <w:marTop w:val="0"/>
      <w:marBottom w:val="0"/>
      <w:divBdr>
        <w:top w:val="none" w:sz="0" w:space="0" w:color="auto"/>
        <w:left w:val="none" w:sz="0" w:space="0" w:color="auto"/>
        <w:bottom w:val="none" w:sz="0" w:space="0" w:color="auto"/>
        <w:right w:val="none" w:sz="0" w:space="0" w:color="auto"/>
      </w:divBdr>
    </w:div>
    <w:div w:id="883105203">
      <w:bodyDiv w:val="1"/>
      <w:marLeft w:val="0"/>
      <w:marRight w:val="0"/>
      <w:marTop w:val="0"/>
      <w:marBottom w:val="0"/>
      <w:divBdr>
        <w:top w:val="none" w:sz="0" w:space="0" w:color="auto"/>
        <w:left w:val="none" w:sz="0" w:space="0" w:color="auto"/>
        <w:bottom w:val="none" w:sz="0" w:space="0" w:color="auto"/>
        <w:right w:val="none" w:sz="0" w:space="0" w:color="auto"/>
      </w:divBdr>
    </w:div>
    <w:div w:id="918557186">
      <w:bodyDiv w:val="1"/>
      <w:marLeft w:val="0"/>
      <w:marRight w:val="0"/>
      <w:marTop w:val="0"/>
      <w:marBottom w:val="0"/>
      <w:divBdr>
        <w:top w:val="none" w:sz="0" w:space="0" w:color="auto"/>
        <w:left w:val="none" w:sz="0" w:space="0" w:color="auto"/>
        <w:bottom w:val="none" w:sz="0" w:space="0" w:color="auto"/>
        <w:right w:val="none" w:sz="0" w:space="0" w:color="auto"/>
      </w:divBdr>
    </w:div>
    <w:div w:id="924922848">
      <w:bodyDiv w:val="1"/>
      <w:marLeft w:val="0"/>
      <w:marRight w:val="0"/>
      <w:marTop w:val="0"/>
      <w:marBottom w:val="0"/>
      <w:divBdr>
        <w:top w:val="none" w:sz="0" w:space="0" w:color="auto"/>
        <w:left w:val="none" w:sz="0" w:space="0" w:color="auto"/>
        <w:bottom w:val="none" w:sz="0" w:space="0" w:color="auto"/>
        <w:right w:val="none" w:sz="0" w:space="0" w:color="auto"/>
      </w:divBdr>
    </w:div>
    <w:div w:id="1092311273">
      <w:bodyDiv w:val="1"/>
      <w:marLeft w:val="0"/>
      <w:marRight w:val="0"/>
      <w:marTop w:val="0"/>
      <w:marBottom w:val="0"/>
      <w:divBdr>
        <w:top w:val="none" w:sz="0" w:space="0" w:color="auto"/>
        <w:left w:val="none" w:sz="0" w:space="0" w:color="auto"/>
        <w:bottom w:val="none" w:sz="0" w:space="0" w:color="auto"/>
        <w:right w:val="none" w:sz="0" w:space="0" w:color="auto"/>
      </w:divBdr>
    </w:div>
    <w:div w:id="1101298322">
      <w:bodyDiv w:val="1"/>
      <w:marLeft w:val="0"/>
      <w:marRight w:val="0"/>
      <w:marTop w:val="0"/>
      <w:marBottom w:val="0"/>
      <w:divBdr>
        <w:top w:val="none" w:sz="0" w:space="0" w:color="auto"/>
        <w:left w:val="none" w:sz="0" w:space="0" w:color="auto"/>
        <w:bottom w:val="none" w:sz="0" w:space="0" w:color="auto"/>
        <w:right w:val="none" w:sz="0" w:space="0" w:color="auto"/>
      </w:divBdr>
    </w:div>
    <w:div w:id="1169758157">
      <w:bodyDiv w:val="1"/>
      <w:marLeft w:val="0"/>
      <w:marRight w:val="0"/>
      <w:marTop w:val="0"/>
      <w:marBottom w:val="0"/>
      <w:divBdr>
        <w:top w:val="none" w:sz="0" w:space="0" w:color="auto"/>
        <w:left w:val="none" w:sz="0" w:space="0" w:color="auto"/>
        <w:bottom w:val="none" w:sz="0" w:space="0" w:color="auto"/>
        <w:right w:val="none" w:sz="0" w:space="0" w:color="auto"/>
      </w:divBdr>
    </w:div>
    <w:div w:id="1199709342">
      <w:bodyDiv w:val="1"/>
      <w:marLeft w:val="0"/>
      <w:marRight w:val="0"/>
      <w:marTop w:val="0"/>
      <w:marBottom w:val="0"/>
      <w:divBdr>
        <w:top w:val="none" w:sz="0" w:space="0" w:color="auto"/>
        <w:left w:val="none" w:sz="0" w:space="0" w:color="auto"/>
        <w:bottom w:val="none" w:sz="0" w:space="0" w:color="auto"/>
        <w:right w:val="none" w:sz="0" w:space="0" w:color="auto"/>
      </w:divBdr>
    </w:div>
    <w:div w:id="1357345126">
      <w:bodyDiv w:val="1"/>
      <w:marLeft w:val="0"/>
      <w:marRight w:val="0"/>
      <w:marTop w:val="0"/>
      <w:marBottom w:val="0"/>
      <w:divBdr>
        <w:top w:val="none" w:sz="0" w:space="0" w:color="auto"/>
        <w:left w:val="none" w:sz="0" w:space="0" w:color="auto"/>
        <w:bottom w:val="none" w:sz="0" w:space="0" w:color="auto"/>
        <w:right w:val="none" w:sz="0" w:space="0" w:color="auto"/>
      </w:divBdr>
    </w:div>
    <w:div w:id="1386679244">
      <w:bodyDiv w:val="1"/>
      <w:marLeft w:val="0"/>
      <w:marRight w:val="0"/>
      <w:marTop w:val="0"/>
      <w:marBottom w:val="0"/>
      <w:divBdr>
        <w:top w:val="none" w:sz="0" w:space="0" w:color="auto"/>
        <w:left w:val="none" w:sz="0" w:space="0" w:color="auto"/>
        <w:bottom w:val="none" w:sz="0" w:space="0" w:color="auto"/>
        <w:right w:val="none" w:sz="0" w:space="0" w:color="auto"/>
      </w:divBdr>
    </w:div>
    <w:div w:id="1409419765">
      <w:bodyDiv w:val="1"/>
      <w:marLeft w:val="0"/>
      <w:marRight w:val="0"/>
      <w:marTop w:val="0"/>
      <w:marBottom w:val="0"/>
      <w:divBdr>
        <w:top w:val="none" w:sz="0" w:space="0" w:color="auto"/>
        <w:left w:val="none" w:sz="0" w:space="0" w:color="auto"/>
        <w:bottom w:val="none" w:sz="0" w:space="0" w:color="auto"/>
        <w:right w:val="none" w:sz="0" w:space="0" w:color="auto"/>
      </w:divBdr>
    </w:div>
    <w:div w:id="1530415011">
      <w:bodyDiv w:val="1"/>
      <w:marLeft w:val="0"/>
      <w:marRight w:val="0"/>
      <w:marTop w:val="0"/>
      <w:marBottom w:val="0"/>
      <w:divBdr>
        <w:top w:val="none" w:sz="0" w:space="0" w:color="auto"/>
        <w:left w:val="none" w:sz="0" w:space="0" w:color="auto"/>
        <w:bottom w:val="none" w:sz="0" w:space="0" w:color="auto"/>
        <w:right w:val="none" w:sz="0" w:space="0" w:color="auto"/>
      </w:divBdr>
      <w:divsChild>
        <w:div w:id="1233585465">
          <w:marLeft w:val="-108"/>
          <w:marRight w:val="0"/>
          <w:marTop w:val="0"/>
          <w:marBottom w:val="0"/>
          <w:divBdr>
            <w:top w:val="none" w:sz="0" w:space="0" w:color="auto"/>
            <w:left w:val="none" w:sz="0" w:space="0" w:color="auto"/>
            <w:bottom w:val="none" w:sz="0" w:space="0" w:color="auto"/>
            <w:right w:val="none" w:sz="0" w:space="0" w:color="auto"/>
          </w:divBdr>
        </w:div>
      </w:divsChild>
    </w:div>
    <w:div w:id="1642271671">
      <w:bodyDiv w:val="1"/>
      <w:marLeft w:val="0"/>
      <w:marRight w:val="0"/>
      <w:marTop w:val="0"/>
      <w:marBottom w:val="0"/>
      <w:divBdr>
        <w:top w:val="none" w:sz="0" w:space="0" w:color="auto"/>
        <w:left w:val="none" w:sz="0" w:space="0" w:color="auto"/>
        <w:bottom w:val="none" w:sz="0" w:space="0" w:color="auto"/>
        <w:right w:val="none" w:sz="0" w:space="0" w:color="auto"/>
      </w:divBdr>
    </w:div>
    <w:div w:id="1803883471">
      <w:bodyDiv w:val="1"/>
      <w:marLeft w:val="0"/>
      <w:marRight w:val="0"/>
      <w:marTop w:val="0"/>
      <w:marBottom w:val="0"/>
      <w:divBdr>
        <w:top w:val="none" w:sz="0" w:space="0" w:color="auto"/>
        <w:left w:val="none" w:sz="0" w:space="0" w:color="auto"/>
        <w:bottom w:val="none" w:sz="0" w:space="0" w:color="auto"/>
        <w:right w:val="none" w:sz="0" w:space="0" w:color="auto"/>
      </w:divBdr>
    </w:div>
    <w:div w:id="1874002363">
      <w:bodyDiv w:val="1"/>
      <w:marLeft w:val="0"/>
      <w:marRight w:val="0"/>
      <w:marTop w:val="0"/>
      <w:marBottom w:val="0"/>
      <w:divBdr>
        <w:top w:val="none" w:sz="0" w:space="0" w:color="auto"/>
        <w:left w:val="none" w:sz="0" w:space="0" w:color="auto"/>
        <w:bottom w:val="none" w:sz="0" w:space="0" w:color="auto"/>
        <w:right w:val="none" w:sz="0" w:space="0" w:color="auto"/>
      </w:divBdr>
    </w:div>
    <w:div w:id="2066952912">
      <w:bodyDiv w:val="1"/>
      <w:marLeft w:val="0"/>
      <w:marRight w:val="0"/>
      <w:marTop w:val="0"/>
      <w:marBottom w:val="0"/>
      <w:divBdr>
        <w:top w:val="none" w:sz="0" w:space="0" w:color="auto"/>
        <w:left w:val="none" w:sz="0" w:space="0" w:color="auto"/>
        <w:bottom w:val="none" w:sz="0" w:space="0" w:color="auto"/>
        <w:right w:val="none" w:sz="0" w:space="0" w:color="auto"/>
      </w:divBdr>
    </w:div>
    <w:div w:id="2112123996">
      <w:bodyDiv w:val="1"/>
      <w:marLeft w:val="0"/>
      <w:marRight w:val="0"/>
      <w:marTop w:val="0"/>
      <w:marBottom w:val="0"/>
      <w:divBdr>
        <w:top w:val="none" w:sz="0" w:space="0" w:color="auto"/>
        <w:left w:val="none" w:sz="0" w:space="0" w:color="auto"/>
        <w:bottom w:val="none" w:sz="0" w:space="0" w:color="auto"/>
        <w:right w:val="none" w:sz="0" w:space="0" w:color="auto"/>
      </w:divBdr>
    </w:div>
    <w:div w:id="212114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B87901EFFFD024BBC1A634B3A32B5F7" ma:contentTypeVersion="11" ma:contentTypeDescription="Opret et nyt dokument." ma:contentTypeScope="" ma:versionID="57ab772c3342c7ba14e7e5e7770d04c0">
  <xsd:schema xmlns:xsd="http://www.w3.org/2001/XMLSchema" xmlns:xs="http://www.w3.org/2001/XMLSchema" xmlns:p="http://schemas.microsoft.com/office/2006/metadata/properties" xmlns:ns2="1316c49a-0f50-4cb7-8796-f7825e7886ee" xmlns:ns3="dca065b5-1cf3-4f86-a01a-67a8409c3bf9" targetNamespace="http://schemas.microsoft.com/office/2006/metadata/properties" ma:root="true" ma:fieldsID="a383b6550414b4565e968ca67dab6fa9" ns2:_="" ns3:_="">
    <xsd:import namespace="1316c49a-0f50-4cb7-8796-f7825e7886ee"/>
    <xsd:import namespace="dca065b5-1cf3-4f86-a01a-67a8409c3b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6c49a-0f50-4cb7-8796-f7825e7886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a065b5-1cf3-4f86-a01a-67a8409c3bf9"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0469C4-1E7D-48D3-BB28-DBB2AC32BE40}">
  <ds:schemaRefs>
    <ds:schemaRef ds:uri="http://schemas.openxmlformats.org/officeDocument/2006/bibliography"/>
  </ds:schemaRefs>
</ds:datastoreItem>
</file>

<file path=customXml/itemProps2.xml><?xml version="1.0" encoding="utf-8"?>
<ds:datastoreItem xmlns:ds="http://schemas.openxmlformats.org/officeDocument/2006/customXml" ds:itemID="{30DFBC97-F634-4DB8-96B0-7865BD5DE7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EA34AD-3ACE-4D63-B309-4FDF7C128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16c49a-0f50-4cb7-8796-f7825e7886ee"/>
    <ds:schemaRef ds:uri="dca065b5-1cf3-4f86-a01a-67a8409c3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CFA134-D7E6-4712-81C7-2925415120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1958</Words>
  <Characters>11945</Characters>
  <Application>Microsoft Office Word</Application>
  <DocSecurity>0</DocSecurity>
  <Lines>99</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Ludvig Reventlow</dc:creator>
  <cp:lastModifiedBy>Karin Ryberg Hansen</cp:lastModifiedBy>
  <cp:revision>2</cp:revision>
  <cp:lastPrinted>2021-12-23T07:35:00Z</cp:lastPrinted>
  <dcterms:created xsi:type="dcterms:W3CDTF">2022-05-12T08:25:00Z</dcterms:created>
  <dcterms:modified xsi:type="dcterms:W3CDTF">2022-05-12T08:25:00Z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0x0101004B87901EFFFD024BBC1A634B3A32B5F7</vt:lpwstr>
  </property>
</Properties>
</file>